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C626" w14:textId="52F3975D" w:rsidR="00A907B4" w:rsidRPr="003B55F6" w:rsidRDefault="003B55F6">
      <w:pPr>
        <w:pStyle w:val="Titel"/>
        <w:rPr>
          <w:highlight w:val="green"/>
          <w:lang w:val="de-DE"/>
        </w:rPr>
      </w:pPr>
      <w:bookmarkStart w:id="0" w:name="_heading=h.gjdgxs" w:colFirst="0" w:colLast="0"/>
      <w:bookmarkEnd w:id="0"/>
      <w:r w:rsidRPr="003B55F6">
        <w:rPr>
          <w:lang w:val="de-DE"/>
        </w:rPr>
        <w:t xml:space="preserve">Presseinformation </w:t>
      </w:r>
    </w:p>
    <w:p w14:paraId="425351DE" w14:textId="778F2E0C" w:rsidR="00913C60" w:rsidRDefault="00913C60" w:rsidP="00913C60">
      <w:pPr>
        <w:pStyle w:val="berschrift1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rPr>
          <w:lang w:val="de-DE"/>
        </w:rPr>
      </w:pPr>
      <w:bookmarkStart w:id="1" w:name="_heading=h.30j0zll" w:colFirst="0" w:colLast="0"/>
      <w:bookmarkEnd w:id="1"/>
      <w:r w:rsidRPr="003B55F6">
        <w:rPr>
          <w:lang w:val="de-DE"/>
        </w:rPr>
        <w:t xml:space="preserve">Koenig &amp; Bauer </w:t>
      </w:r>
      <w:r w:rsidR="00942ACF">
        <w:rPr>
          <w:lang w:val="de-DE"/>
        </w:rPr>
        <w:t xml:space="preserve">bestätigt mit starker Auftragslage und ersten positiven Effekten aus dem Fokusprogramm </w:t>
      </w:r>
      <w:r w:rsidR="00D8562F">
        <w:rPr>
          <w:lang w:val="de-DE"/>
        </w:rPr>
        <w:t>“</w:t>
      </w:r>
      <w:r w:rsidR="00942ACF">
        <w:rPr>
          <w:lang w:val="de-DE"/>
        </w:rPr>
        <w:t>Spotlight“ die</w:t>
      </w:r>
      <w:r w:rsidR="00007AF4">
        <w:rPr>
          <w:lang w:val="de-DE"/>
        </w:rPr>
        <w:t xml:space="preserve"> </w:t>
      </w:r>
      <w:r>
        <w:rPr>
          <w:lang w:val="de-DE"/>
        </w:rPr>
        <w:t xml:space="preserve">operative </w:t>
      </w:r>
      <w:proofErr w:type="spellStart"/>
      <w:r>
        <w:rPr>
          <w:lang w:val="de-DE"/>
        </w:rPr>
        <w:t>Guidance</w:t>
      </w:r>
      <w:proofErr w:type="spellEnd"/>
      <w:r>
        <w:rPr>
          <w:lang w:val="de-DE"/>
        </w:rPr>
        <w:t xml:space="preserve"> für das Gesamtjahr 2024</w:t>
      </w:r>
    </w:p>
    <w:p w14:paraId="3F445F3F" w14:textId="77777777" w:rsidR="0083570C" w:rsidRPr="0083570C" w:rsidRDefault="0083570C" w:rsidP="0083570C">
      <w:pPr>
        <w:rPr>
          <w:lang w:val="de-DE"/>
        </w:rPr>
      </w:pPr>
    </w:p>
    <w:p w14:paraId="10376268" w14:textId="22BBC978" w:rsidR="008C57EA" w:rsidRDefault="00DD5D37" w:rsidP="001F630F">
      <w:pPr>
        <w:numPr>
          <w:ilvl w:val="0"/>
          <w:numId w:val="1"/>
        </w:numPr>
        <w:spacing w:after="0"/>
        <w:rPr>
          <w:b/>
          <w:lang w:val="de-DE"/>
        </w:rPr>
      </w:pPr>
      <w:r>
        <w:rPr>
          <w:b/>
          <w:lang w:val="de-DE"/>
        </w:rPr>
        <w:t>S</w:t>
      </w:r>
      <w:r w:rsidR="008F0EB7">
        <w:rPr>
          <w:b/>
          <w:lang w:val="de-DE"/>
        </w:rPr>
        <w:t xml:space="preserve">tarke Auftragslage im </w:t>
      </w:r>
      <w:r w:rsidR="00FB5914">
        <w:rPr>
          <w:b/>
          <w:lang w:val="de-DE"/>
        </w:rPr>
        <w:t>drupa-</w:t>
      </w:r>
      <w:r w:rsidR="00FB5914" w:rsidRPr="001F630F">
        <w:rPr>
          <w:b/>
          <w:lang w:val="de-DE"/>
        </w:rPr>
        <w:t xml:space="preserve">Jahr 2024 </w:t>
      </w:r>
      <w:r w:rsidR="008F0EB7" w:rsidRPr="001F630F">
        <w:rPr>
          <w:b/>
          <w:lang w:val="de-DE"/>
        </w:rPr>
        <w:t>führt</w:t>
      </w:r>
      <w:r w:rsidR="00A51AC0" w:rsidRPr="001F630F">
        <w:rPr>
          <w:b/>
          <w:lang w:val="de-DE"/>
        </w:rPr>
        <w:t xml:space="preserve"> zu</w:t>
      </w:r>
      <w:r>
        <w:rPr>
          <w:b/>
          <w:lang w:val="de-DE"/>
        </w:rPr>
        <w:t xml:space="preserve">m höchsten </w:t>
      </w:r>
      <w:r w:rsidR="00A51AC0" w:rsidRPr="001F630F">
        <w:rPr>
          <w:b/>
          <w:lang w:val="de-DE"/>
        </w:rPr>
        <w:t>Auftragsbestand</w:t>
      </w:r>
      <w:r>
        <w:rPr>
          <w:b/>
          <w:lang w:val="de-DE"/>
        </w:rPr>
        <w:t xml:space="preserve"> mit</w:t>
      </w:r>
      <w:r w:rsidR="00A51AC0" w:rsidRPr="001F630F">
        <w:rPr>
          <w:b/>
          <w:lang w:val="de-DE"/>
        </w:rPr>
        <w:t xml:space="preserve"> </w:t>
      </w:r>
      <w:r w:rsidRPr="001F630F">
        <w:rPr>
          <w:b/>
          <w:lang w:val="de-DE"/>
        </w:rPr>
        <w:t>1.080,0 Mio. €</w:t>
      </w:r>
      <w:r>
        <w:rPr>
          <w:b/>
          <w:lang w:val="de-DE"/>
        </w:rPr>
        <w:t xml:space="preserve"> in der Unternehmensgeschichte </w:t>
      </w:r>
    </w:p>
    <w:p w14:paraId="75016105" w14:textId="1B667B68" w:rsidR="000C2C9C" w:rsidRPr="001B29AF" w:rsidRDefault="006D38AB" w:rsidP="001B29AF">
      <w:pPr>
        <w:numPr>
          <w:ilvl w:val="0"/>
          <w:numId w:val="1"/>
        </w:numPr>
        <w:spacing w:after="0"/>
        <w:rPr>
          <w:b/>
          <w:lang w:val="de-DE"/>
        </w:rPr>
      </w:pPr>
      <w:r w:rsidRPr="001B29AF">
        <w:rPr>
          <w:b/>
          <w:lang w:val="de-DE"/>
        </w:rPr>
        <w:t>M</w:t>
      </w:r>
      <w:r w:rsidRPr="00DE1461">
        <w:rPr>
          <w:b/>
          <w:lang w:val="de-DE"/>
        </w:rPr>
        <w:t xml:space="preserve">it diesem Rückenwind </w:t>
      </w:r>
      <w:r w:rsidR="00A54C5E" w:rsidRPr="00AF713A">
        <w:rPr>
          <w:b/>
          <w:lang w:val="de-DE"/>
        </w:rPr>
        <w:t>aus dem starken Auftragsbestand</w:t>
      </w:r>
      <w:r w:rsidR="001B29AF" w:rsidRPr="00AF713A">
        <w:rPr>
          <w:b/>
          <w:lang w:val="de-DE"/>
        </w:rPr>
        <w:t xml:space="preserve"> </w:t>
      </w:r>
      <w:r w:rsidR="000C2C9C" w:rsidRPr="00AF713A">
        <w:rPr>
          <w:b/>
          <w:lang w:val="de-DE"/>
        </w:rPr>
        <w:t xml:space="preserve">wird ein </w:t>
      </w:r>
      <w:r w:rsidR="00DD5D37" w:rsidRPr="001B29AF">
        <w:rPr>
          <w:b/>
          <w:lang w:val="de-DE"/>
        </w:rPr>
        <w:t>star</w:t>
      </w:r>
      <w:r w:rsidR="00DD5D37" w:rsidRPr="00DE1461">
        <w:rPr>
          <w:b/>
          <w:lang w:val="de-DE"/>
        </w:rPr>
        <w:t xml:space="preserve">kes </w:t>
      </w:r>
      <w:r w:rsidRPr="002D2B96">
        <w:rPr>
          <w:b/>
          <w:lang w:val="de-DE"/>
        </w:rPr>
        <w:t>Schlussquartal</w:t>
      </w:r>
      <w:r w:rsidR="00DD5D37" w:rsidRPr="00DD2AF2">
        <w:rPr>
          <w:b/>
          <w:lang w:val="de-DE"/>
        </w:rPr>
        <w:t xml:space="preserve"> erwarte</w:t>
      </w:r>
      <w:r w:rsidR="000C2C9C" w:rsidRPr="00AF713A">
        <w:rPr>
          <w:b/>
          <w:lang w:val="de-DE"/>
        </w:rPr>
        <w:t>t</w:t>
      </w:r>
    </w:p>
    <w:p w14:paraId="79D485F5" w14:textId="0B26CFB9" w:rsidR="00B62EFD" w:rsidRPr="007642D9" w:rsidRDefault="00B62EFD" w:rsidP="007A38CE">
      <w:pPr>
        <w:numPr>
          <w:ilvl w:val="0"/>
          <w:numId w:val="1"/>
        </w:numPr>
        <w:spacing w:after="0"/>
        <w:rPr>
          <w:color w:val="000000"/>
          <w:lang w:val="de-DE"/>
        </w:rPr>
      </w:pPr>
      <w:r w:rsidRPr="003B55F6">
        <w:rPr>
          <w:b/>
          <w:lang w:val="de-DE"/>
        </w:rPr>
        <w:t>Ausblick für 2024</w:t>
      </w:r>
      <w:r>
        <w:rPr>
          <w:b/>
          <w:lang w:val="de-DE"/>
        </w:rPr>
        <w:t xml:space="preserve"> bestätigt</w:t>
      </w:r>
      <w:r w:rsidRPr="003B55F6">
        <w:rPr>
          <w:b/>
          <w:lang w:val="de-DE"/>
        </w:rPr>
        <w:t>: Operatives EBIT am unteren Ende des prognostizierten Korridors von 25 bis 40</w:t>
      </w:r>
      <w:r>
        <w:rPr>
          <w:b/>
          <w:lang w:val="de-DE"/>
        </w:rPr>
        <w:t> </w:t>
      </w:r>
      <w:r w:rsidRPr="003B55F6">
        <w:rPr>
          <w:b/>
          <w:lang w:val="de-DE"/>
        </w:rPr>
        <w:t>Mio.</w:t>
      </w:r>
      <w:r>
        <w:rPr>
          <w:b/>
          <w:lang w:val="de-DE"/>
        </w:rPr>
        <w:t> </w:t>
      </w:r>
      <w:r w:rsidRPr="007642D9">
        <w:rPr>
          <w:b/>
          <w:lang w:val="de-DE"/>
        </w:rPr>
        <w:t xml:space="preserve">€ und Umsatzziel von </w:t>
      </w:r>
      <w:r w:rsidR="009905C9">
        <w:rPr>
          <w:b/>
          <w:lang w:val="de-DE"/>
        </w:rPr>
        <w:t xml:space="preserve">rund </w:t>
      </w:r>
      <w:r w:rsidRPr="007642D9">
        <w:rPr>
          <w:b/>
          <w:lang w:val="de-DE"/>
        </w:rPr>
        <w:t>1,3</w:t>
      </w:r>
      <w:r>
        <w:rPr>
          <w:b/>
          <w:lang w:val="de-DE"/>
        </w:rPr>
        <w:t> </w:t>
      </w:r>
      <w:r w:rsidRPr="007642D9">
        <w:rPr>
          <w:b/>
          <w:lang w:val="de-DE"/>
        </w:rPr>
        <w:t>Mrd.</w:t>
      </w:r>
      <w:r>
        <w:rPr>
          <w:b/>
          <w:lang w:val="de-DE"/>
        </w:rPr>
        <w:t> </w:t>
      </w:r>
      <w:r w:rsidRPr="007642D9">
        <w:rPr>
          <w:b/>
          <w:lang w:val="de-DE"/>
        </w:rPr>
        <w:t>€</w:t>
      </w:r>
    </w:p>
    <w:p w14:paraId="4E9825E9" w14:textId="1EBFEFBE" w:rsidR="005E3E7F" w:rsidRPr="00187A08" w:rsidRDefault="00850251" w:rsidP="00187A08">
      <w:pPr>
        <w:numPr>
          <w:ilvl w:val="0"/>
          <w:numId w:val="1"/>
        </w:numPr>
        <w:spacing w:after="0"/>
        <w:rPr>
          <w:b/>
          <w:lang w:val="de-DE"/>
        </w:rPr>
      </w:pPr>
      <w:r>
        <w:rPr>
          <w:b/>
          <w:lang w:val="de-DE"/>
        </w:rPr>
        <w:t xml:space="preserve">Konzernumsatz </w:t>
      </w:r>
      <w:r w:rsidR="00187A08" w:rsidRPr="00185CC8">
        <w:rPr>
          <w:b/>
          <w:lang w:val="de-DE"/>
        </w:rPr>
        <w:t xml:space="preserve">nach 9-Monaten </w:t>
      </w:r>
      <w:r w:rsidR="00A34CCB" w:rsidRPr="00185CC8">
        <w:rPr>
          <w:b/>
          <w:lang w:val="de-DE"/>
        </w:rPr>
        <w:t>mit 819,6 Mio. €</w:t>
      </w:r>
      <w:r w:rsidR="00187A08">
        <w:rPr>
          <w:b/>
          <w:lang w:val="de-DE"/>
        </w:rPr>
        <w:t xml:space="preserve"> </w:t>
      </w:r>
      <w:r w:rsidRPr="00185CC8">
        <w:rPr>
          <w:b/>
          <w:lang w:val="de-DE"/>
        </w:rPr>
        <w:t xml:space="preserve">in </w:t>
      </w:r>
      <w:r>
        <w:rPr>
          <w:b/>
          <w:lang w:val="de-DE"/>
        </w:rPr>
        <w:t xml:space="preserve">einem anhaltend </w:t>
      </w:r>
      <w:r w:rsidR="00D01F5C">
        <w:rPr>
          <w:b/>
          <w:lang w:val="de-DE"/>
        </w:rPr>
        <w:t>herausfordernden</w:t>
      </w:r>
      <w:r>
        <w:rPr>
          <w:b/>
          <w:lang w:val="de-DE"/>
        </w:rPr>
        <w:t xml:space="preserve"> </w:t>
      </w:r>
      <w:r w:rsidRPr="00185CC8">
        <w:rPr>
          <w:b/>
          <w:lang w:val="de-DE"/>
        </w:rPr>
        <w:t xml:space="preserve">Marktumfeld erwartungsgemäß </w:t>
      </w:r>
      <w:r w:rsidR="00187A08">
        <w:rPr>
          <w:b/>
          <w:lang w:val="de-DE"/>
        </w:rPr>
        <w:t>unter Vorjahr</w:t>
      </w:r>
      <w:r w:rsidR="00347021">
        <w:rPr>
          <w:b/>
          <w:lang w:val="de-DE"/>
        </w:rPr>
        <w:t xml:space="preserve"> – jedoch sequenzielle Umsatzverbesserung </w:t>
      </w:r>
    </w:p>
    <w:p w14:paraId="6015DDF4" w14:textId="3BC4C25F" w:rsidR="008C57EA" w:rsidRDefault="004D3BF8" w:rsidP="007A38CE">
      <w:pPr>
        <w:numPr>
          <w:ilvl w:val="0"/>
          <w:numId w:val="1"/>
        </w:numPr>
        <w:spacing w:after="0"/>
        <w:rPr>
          <w:b/>
          <w:lang w:val="de-DE"/>
        </w:rPr>
      </w:pPr>
      <w:r>
        <w:rPr>
          <w:b/>
          <w:lang w:val="de-DE"/>
        </w:rPr>
        <w:t>Nicht operative</w:t>
      </w:r>
      <w:r w:rsidR="00D81929">
        <w:rPr>
          <w:b/>
          <w:lang w:val="de-DE"/>
        </w:rPr>
        <w:t>r</w:t>
      </w:r>
      <w:r>
        <w:rPr>
          <w:b/>
          <w:lang w:val="de-DE"/>
        </w:rPr>
        <w:t xml:space="preserve"> Sondereffe</w:t>
      </w:r>
      <w:r w:rsidR="00D81929">
        <w:rPr>
          <w:b/>
          <w:lang w:val="de-DE"/>
        </w:rPr>
        <w:t>kt</w:t>
      </w:r>
      <w:r>
        <w:rPr>
          <w:b/>
          <w:lang w:val="de-DE"/>
        </w:rPr>
        <w:t xml:space="preserve">: </w:t>
      </w:r>
      <w:r w:rsidR="006D38AB">
        <w:rPr>
          <w:b/>
          <w:lang w:val="de-DE"/>
        </w:rPr>
        <w:t xml:space="preserve">Fokusprogramm </w:t>
      </w:r>
      <w:r w:rsidR="00E70E95">
        <w:rPr>
          <w:b/>
          <w:lang w:val="de-DE"/>
        </w:rPr>
        <w:t>“</w:t>
      </w:r>
      <w:r w:rsidR="00606051">
        <w:rPr>
          <w:b/>
          <w:lang w:val="de-DE"/>
        </w:rPr>
        <w:t>Spotlight</w:t>
      </w:r>
      <w:r w:rsidR="006D38AB">
        <w:rPr>
          <w:b/>
          <w:lang w:val="de-DE"/>
        </w:rPr>
        <w:t>“</w:t>
      </w:r>
      <w:r w:rsidR="0013227C">
        <w:rPr>
          <w:b/>
          <w:lang w:val="de-DE"/>
        </w:rPr>
        <w:t xml:space="preserve"> </w:t>
      </w:r>
      <w:r w:rsidR="003E4CCF">
        <w:rPr>
          <w:b/>
          <w:lang w:val="de-DE"/>
        </w:rPr>
        <w:t xml:space="preserve">und Aufwendungen für die drupa </w:t>
      </w:r>
      <w:r w:rsidR="003C4EDD">
        <w:rPr>
          <w:b/>
          <w:lang w:val="de-DE"/>
        </w:rPr>
        <w:t>belaste</w:t>
      </w:r>
      <w:r w:rsidR="003E4CCF">
        <w:rPr>
          <w:b/>
          <w:lang w:val="de-DE"/>
        </w:rPr>
        <w:t>n</w:t>
      </w:r>
      <w:r w:rsidR="003C4EDD">
        <w:rPr>
          <w:b/>
          <w:lang w:val="de-DE"/>
        </w:rPr>
        <w:t xml:space="preserve"> </w:t>
      </w:r>
      <w:r w:rsidR="007639AD">
        <w:rPr>
          <w:b/>
          <w:lang w:val="de-DE"/>
        </w:rPr>
        <w:t xml:space="preserve">mit 34,9 Mio. € erwartungsgemäß </w:t>
      </w:r>
      <w:r w:rsidR="00B34C95">
        <w:rPr>
          <w:b/>
          <w:lang w:val="de-DE"/>
        </w:rPr>
        <w:t xml:space="preserve">das </w:t>
      </w:r>
      <w:r w:rsidR="007639AD">
        <w:rPr>
          <w:b/>
          <w:lang w:val="de-DE"/>
        </w:rPr>
        <w:t>Konzern-EBIT</w:t>
      </w:r>
      <w:r w:rsidR="003C4EDD">
        <w:rPr>
          <w:b/>
          <w:lang w:val="de-DE"/>
        </w:rPr>
        <w:t xml:space="preserve"> </w:t>
      </w:r>
    </w:p>
    <w:p w14:paraId="5ADBFE10" w14:textId="7D78F4CA" w:rsidR="006759EE" w:rsidRDefault="00606051" w:rsidP="007A38CE">
      <w:pPr>
        <w:numPr>
          <w:ilvl w:val="0"/>
          <w:numId w:val="1"/>
        </w:numPr>
        <w:spacing w:after="0"/>
        <w:rPr>
          <w:b/>
          <w:lang w:val="de-DE"/>
        </w:rPr>
      </w:pPr>
      <w:r>
        <w:rPr>
          <w:b/>
          <w:lang w:val="de-DE"/>
        </w:rPr>
        <w:t>O</w:t>
      </w:r>
      <w:r w:rsidR="00F064A2">
        <w:rPr>
          <w:b/>
          <w:lang w:val="de-DE"/>
        </w:rPr>
        <w:t>perat</w:t>
      </w:r>
      <w:r w:rsidR="001F458E">
        <w:rPr>
          <w:b/>
          <w:lang w:val="de-DE"/>
        </w:rPr>
        <w:t>ive</w:t>
      </w:r>
      <w:r>
        <w:rPr>
          <w:b/>
          <w:lang w:val="de-DE"/>
        </w:rPr>
        <w:t>s</w:t>
      </w:r>
      <w:r w:rsidR="001F458E">
        <w:rPr>
          <w:b/>
          <w:lang w:val="de-DE"/>
        </w:rPr>
        <w:t xml:space="preserve"> EBIT </w:t>
      </w:r>
      <w:r w:rsidR="003E3B4B">
        <w:rPr>
          <w:b/>
          <w:lang w:val="de-DE"/>
        </w:rPr>
        <w:t xml:space="preserve">nach 9-Monaten </w:t>
      </w:r>
      <w:r w:rsidR="00DD2AF2">
        <w:rPr>
          <w:b/>
          <w:lang w:val="de-DE"/>
        </w:rPr>
        <w:t>entsprechend bei</w:t>
      </w:r>
      <w:r w:rsidR="007639AD">
        <w:rPr>
          <w:b/>
          <w:lang w:val="de-DE"/>
        </w:rPr>
        <w:t xml:space="preserve"> </w:t>
      </w:r>
      <w:r w:rsidR="00E97CE5">
        <w:rPr>
          <w:b/>
          <w:lang w:val="de-DE"/>
        </w:rPr>
        <w:t>-</w:t>
      </w:r>
      <w:r w:rsidR="00E70E95">
        <w:rPr>
          <w:b/>
          <w:lang w:val="de-DE"/>
        </w:rPr>
        <w:t>20</w:t>
      </w:r>
      <w:r w:rsidR="00E97CE5">
        <w:rPr>
          <w:b/>
          <w:lang w:val="de-DE"/>
        </w:rPr>
        <w:t>,7 Mio. €</w:t>
      </w:r>
      <w:r w:rsidR="007639AD">
        <w:rPr>
          <w:b/>
          <w:lang w:val="de-DE"/>
        </w:rPr>
        <w:t xml:space="preserve">; </w:t>
      </w:r>
      <w:r w:rsidR="00DD2AF2">
        <w:rPr>
          <w:b/>
          <w:lang w:val="de-DE"/>
        </w:rPr>
        <w:t xml:space="preserve">deutliche Verbesserung des </w:t>
      </w:r>
      <w:r w:rsidR="00473400">
        <w:rPr>
          <w:b/>
          <w:lang w:val="de-DE"/>
        </w:rPr>
        <w:t>operative</w:t>
      </w:r>
      <w:r w:rsidR="00DD2AF2">
        <w:rPr>
          <w:b/>
          <w:lang w:val="de-DE"/>
        </w:rPr>
        <w:t>n</w:t>
      </w:r>
      <w:r w:rsidR="00473400">
        <w:rPr>
          <w:b/>
          <w:lang w:val="de-DE"/>
        </w:rPr>
        <w:t xml:space="preserve"> EBIT in Q3 mit 4,2</w:t>
      </w:r>
      <w:r w:rsidR="0074179E">
        <w:rPr>
          <w:b/>
          <w:lang w:val="de-DE"/>
        </w:rPr>
        <w:t> </w:t>
      </w:r>
      <w:r w:rsidR="00473400">
        <w:rPr>
          <w:b/>
          <w:lang w:val="de-DE"/>
        </w:rPr>
        <w:t>Mio.</w:t>
      </w:r>
      <w:r w:rsidR="0074179E">
        <w:rPr>
          <w:b/>
          <w:lang w:val="de-DE"/>
        </w:rPr>
        <w:t> </w:t>
      </w:r>
      <w:r w:rsidR="00473400">
        <w:rPr>
          <w:b/>
          <w:lang w:val="de-DE"/>
        </w:rPr>
        <w:t>€</w:t>
      </w:r>
      <w:r w:rsidR="00CD13C7">
        <w:rPr>
          <w:b/>
          <w:lang w:val="de-DE"/>
        </w:rPr>
        <w:t xml:space="preserve"> nach -14,7</w:t>
      </w:r>
      <w:r w:rsidR="0074179E">
        <w:rPr>
          <w:b/>
          <w:lang w:val="de-DE"/>
        </w:rPr>
        <w:t> </w:t>
      </w:r>
      <w:r w:rsidR="00CD13C7">
        <w:rPr>
          <w:b/>
          <w:lang w:val="de-DE"/>
        </w:rPr>
        <w:t>Mio.</w:t>
      </w:r>
      <w:r w:rsidR="0074179E">
        <w:rPr>
          <w:b/>
          <w:lang w:val="de-DE"/>
        </w:rPr>
        <w:t> </w:t>
      </w:r>
      <w:r w:rsidR="00CD13C7">
        <w:rPr>
          <w:b/>
          <w:lang w:val="de-DE"/>
        </w:rPr>
        <w:t>€ in Q2</w:t>
      </w:r>
    </w:p>
    <w:p w14:paraId="2707F498" w14:textId="2453E099" w:rsidR="006D38AB" w:rsidRDefault="006D38AB" w:rsidP="006D38AB">
      <w:pPr>
        <w:numPr>
          <w:ilvl w:val="0"/>
          <w:numId w:val="1"/>
        </w:numPr>
        <w:spacing w:after="0"/>
        <w:rPr>
          <w:b/>
          <w:lang w:val="de-DE"/>
        </w:rPr>
      </w:pPr>
      <w:r w:rsidRPr="006D38AB">
        <w:rPr>
          <w:b/>
          <w:lang w:val="de-DE"/>
        </w:rPr>
        <w:t>Verbesserung im Free Cashflow und Net Working Capital zum 30. September erzielt</w:t>
      </w:r>
    </w:p>
    <w:p w14:paraId="06BA7BBC" w14:textId="66A9ACDA" w:rsidR="0057100E" w:rsidRPr="000914A2" w:rsidRDefault="00481190" w:rsidP="007A38CE">
      <w:pPr>
        <w:numPr>
          <w:ilvl w:val="0"/>
          <w:numId w:val="1"/>
        </w:numPr>
        <w:spacing w:after="0"/>
        <w:rPr>
          <w:b/>
          <w:lang w:val="de-DE"/>
        </w:rPr>
      </w:pPr>
      <w:r>
        <w:rPr>
          <w:b/>
          <w:lang w:val="de-DE"/>
        </w:rPr>
        <w:t xml:space="preserve">Planmäßige </w:t>
      </w:r>
      <w:r w:rsidR="00FA2BDB">
        <w:rPr>
          <w:b/>
          <w:lang w:val="de-DE"/>
        </w:rPr>
        <w:t xml:space="preserve">Umsetzung des </w:t>
      </w:r>
      <w:r w:rsidR="00B876BF">
        <w:rPr>
          <w:b/>
          <w:lang w:val="de-DE"/>
        </w:rPr>
        <w:t>Fokus</w:t>
      </w:r>
      <w:r w:rsidR="000E6AB5">
        <w:rPr>
          <w:b/>
          <w:lang w:val="de-DE"/>
        </w:rPr>
        <w:t>programm</w:t>
      </w:r>
      <w:r w:rsidR="00FA2BDB">
        <w:rPr>
          <w:b/>
          <w:lang w:val="de-DE"/>
        </w:rPr>
        <w:t>s</w:t>
      </w:r>
      <w:r w:rsidR="000E6AB5">
        <w:rPr>
          <w:b/>
          <w:lang w:val="de-DE"/>
        </w:rPr>
        <w:t xml:space="preserve"> </w:t>
      </w:r>
      <w:r w:rsidR="004D3BF8">
        <w:rPr>
          <w:b/>
          <w:lang w:val="de-DE"/>
        </w:rPr>
        <w:t>“</w:t>
      </w:r>
      <w:r w:rsidR="000E6AB5">
        <w:rPr>
          <w:b/>
          <w:lang w:val="de-DE"/>
        </w:rPr>
        <w:t>Spotligh</w:t>
      </w:r>
      <w:r w:rsidR="00FA2BDB">
        <w:rPr>
          <w:b/>
          <w:lang w:val="de-DE"/>
        </w:rPr>
        <w:t>t</w:t>
      </w:r>
      <w:r w:rsidR="000E6AB5">
        <w:rPr>
          <w:b/>
          <w:lang w:val="de-DE"/>
        </w:rPr>
        <w:t>“</w:t>
      </w:r>
      <w:r w:rsidR="00FA2BDB">
        <w:rPr>
          <w:b/>
          <w:lang w:val="de-DE"/>
        </w:rPr>
        <w:t xml:space="preserve"> </w:t>
      </w:r>
      <w:r>
        <w:rPr>
          <w:b/>
          <w:lang w:val="de-DE"/>
        </w:rPr>
        <w:t xml:space="preserve">zur Sicherung des </w:t>
      </w:r>
      <w:r w:rsidR="001026B6">
        <w:rPr>
          <w:b/>
          <w:lang w:val="de-DE"/>
        </w:rPr>
        <w:t>Ziels</w:t>
      </w:r>
      <w:r w:rsidR="0057100E">
        <w:rPr>
          <w:b/>
          <w:lang w:val="de-DE"/>
        </w:rPr>
        <w:t>,</w:t>
      </w:r>
      <w:r w:rsidR="0057100E" w:rsidRPr="0057100E">
        <w:rPr>
          <w:b/>
          <w:bCs/>
          <w:lang w:val="de-DE"/>
        </w:rPr>
        <w:t xml:space="preserve"> bis </w:t>
      </w:r>
      <w:r w:rsidR="009C4B2C">
        <w:rPr>
          <w:b/>
          <w:bCs/>
          <w:lang w:val="de-DE"/>
        </w:rPr>
        <w:t xml:space="preserve">spätestens </w:t>
      </w:r>
      <w:r w:rsidR="0057100E" w:rsidRPr="0057100E">
        <w:rPr>
          <w:b/>
          <w:bCs/>
          <w:lang w:val="de-DE"/>
        </w:rPr>
        <w:t xml:space="preserve">2026 eine EBIT-Marge von </w:t>
      </w:r>
      <w:r w:rsidR="007639AD">
        <w:rPr>
          <w:b/>
          <w:bCs/>
          <w:lang w:val="de-DE"/>
        </w:rPr>
        <w:t xml:space="preserve">rund </w:t>
      </w:r>
      <w:r w:rsidR="0057100E" w:rsidRPr="0057100E">
        <w:rPr>
          <w:b/>
          <w:bCs/>
          <w:lang w:val="de-DE"/>
        </w:rPr>
        <w:t>6</w:t>
      </w:r>
      <w:r w:rsidR="007639AD">
        <w:rPr>
          <w:b/>
          <w:bCs/>
          <w:lang w:val="de-DE"/>
        </w:rPr>
        <w:t xml:space="preserve"> </w:t>
      </w:r>
      <w:r w:rsidR="0057100E" w:rsidRPr="0057100E">
        <w:rPr>
          <w:b/>
          <w:bCs/>
          <w:lang w:val="de-DE"/>
        </w:rPr>
        <w:t xml:space="preserve">% bei einem Konzernumsatz von </w:t>
      </w:r>
      <w:r w:rsidR="009C4B2C">
        <w:rPr>
          <w:b/>
          <w:bCs/>
          <w:lang w:val="de-DE"/>
        </w:rPr>
        <w:t xml:space="preserve">ca. </w:t>
      </w:r>
      <w:r w:rsidR="0057100E" w:rsidRPr="0057100E">
        <w:rPr>
          <w:b/>
          <w:bCs/>
          <w:lang w:val="de-DE"/>
        </w:rPr>
        <w:t>1,5</w:t>
      </w:r>
      <w:r w:rsidR="001026B6">
        <w:rPr>
          <w:b/>
          <w:bCs/>
          <w:lang w:val="de-DE"/>
        </w:rPr>
        <w:t> </w:t>
      </w:r>
      <w:r w:rsidR="0057100E" w:rsidRPr="0057100E">
        <w:rPr>
          <w:b/>
          <w:bCs/>
          <w:lang w:val="de-DE"/>
        </w:rPr>
        <w:t>Mrd.</w:t>
      </w:r>
      <w:r w:rsidR="001026B6">
        <w:rPr>
          <w:b/>
          <w:bCs/>
          <w:lang w:val="de-DE"/>
        </w:rPr>
        <w:t> </w:t>
      </w:r>
      <w:r w:rsidR="0057100E" w:rsidRPr="0057100E">
        <w:rPr>
          <w:b/>
          <w:bCs/>
          <w:lang w:val="de-DE"/>
        </w:rPr>
        <w:t>€ zu erreichen</w:t>
      </w:r>
    </w:p>
    <w:p w14:paraId="5FBD4DBA" w14:textId="78F4CF5B" w:rsidR="00D427E5" w:rsidRDefault="003B55F6" w:rsidP="00BA02BC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3B55F6">
        <w:rPr>
          <w:b/>
          <w:color w:val="002355"/>
          <w:sz w:val="40"/>
          <w:szCs w:val="40"/>
          <w:lang w:val="de-DE"/>
        </w:rPr>
        <w:br/>
      </w:r>
      <w:r w:rsidRPr="003B55F6">
        <w:rPr>
          <w:lang w:val="de-DE"/>
        </w:rPr>
        <w:t>Würzburg, 0</w:t>
      </w:r>
      <w:r w:rsidR="000914A2">
        <w:rPr>
          <w:lang w:val="de-DE"/>
        </w:rPr>
        <w:t>7</w:t>
      </w:r>
      <w:r w:rsidRPr="003B55F6">
        <w:rPr>
          <w:lang w:val="de-DE"/>
        </w:rPr>
        <w:t>.</w:t>
      </w:r>
      <w:r w:rsidR="000914A2">
        <w:rPr>
          <w:lang w:val="de-DE"/>
        </w:rPr>
        <w:t>11</w:t>
      </w:r>
      <w:r w:rsidRPr="003B55F6">
        <w:rPr>
          <w:lang w:val="de-DE"/>
        </w:rPr>
        <w:t>.2024</w:t>
      </w:r>
      <w:r w:rsidRPr="003B55F6">
        <w:rPr>
          <w:lang w:val="de-DE"/>
        </w:rPr>
        <w:br/>
        <w:t xml:space="preserve">Die Koenig &amp; Bauer AG („Koenig &amp; Bauer“, WKN: 719350 / ISIN: DE0007193500), ein weltweit führender Technologieanbieter von Spezialdruckanwendungen mit besonderem Fokus auf den Verpackungsbereich, </w:t>
      </w:r>
      <w:r w:rsidR="00636E12">
        <w:rPr>
          <w:lang w:val="de-DE"/>
        </w:rPr>
        <w:t xml:space="preserve">hat sich </w:t>
      </w:r>
      <w:r w:rsidR="00B45533">
        <w:rPr>
          <w:lang w:val="de-DE"/>
        </w:rPr>
        <w:t xml:space="preserve">in den ersten neun Monaten 2024 in einem </w:t>
      </w:r>
      <w:r w:rsidR="002455E8">
        <w:rPr>
          <w:lang w:val="de-DE"/>
        </w:rPr>
        <w:t xml:space="preserve">anhaltend </w:t>
      </w:r>
      <w:r w:rsidR="00B45533">
        <w:rPr>
          <w:lang w:val="de-DE"/>
        </w:rPr>
        <w:t xml:space="preserve">herausfordernden </w:t>
      </w:r>
      <w:r w:rsidR="002455E8">
        <w:rPr>
          <w:lang w:val="de-DE"/>
        </w:rPr>
        <w:t>Marktu</w:t>
      </w:r>
      <w:r w:rsidR="00B45533">
        <w:rPr>
          <w:lang w:val="de-DE"/>
        </w:rPr>
        <w:t xml:space="preserve">mfeld </w:t>
      </w:r>
      <w:r w:rsidR="002455E8">
        <w:rPr>
          <w:lang w:val="de-DE"/>
        </w:rPr>
        <w:t>stabil entwickelt</w:t>
      </w:r>
      <w:r w:rsidR="00B45533">
        <w:rPr>
          <w:lang w:val="de-DE"/>
        </w:rPr>
        <w:t xml:space="preserve">. </w:t>
      </w:r>
      <w:r w:rsidR="00C62101">
        <w:rPr>
          <w:lang w:val="de-DE"/>
        </w:rPr>
        <w:t>D</w:t>
      </w:r>
      <w:r w:rsidR="00205CE0">
        <w:rPr>
          <w:lang w:val="de-DE"/>
        </w:rPr>
        <w:t>er</w:t>
      </w:r>
      <w:r w:rsidR="00A5347E">
        <w:rPr>
          <w:lang w:val="de-DE"/>
        </w:rPr>
        <w:t xml:space="preserve"> Auftragseing</w:t>
      </w:r>
      <w:r w:rsidR="00205CE0">
        <w:rPr>
          <w:lang w:val="de-DE"/>
        </w:rPr>
        <w:t>a</w:t>
      </w:r>
      <w:r w:rsidR="00A5347E">
        <w:rPr>
          <w:lang w:val="de-DE"/>
        </w:rPr>
        <w:t xml:space="preserve">ng </w:t>
      </w:r>
      <w:r w:rsidR="001B06ED">
        <w:rPr>
          <w:lang w:val="de-DE"/>
        </w:rPr>
        <w:t>stieg</w:t>
      </w:r>
      <w:r w:rsidR="00E70E95">
        <w:rPr>
          <w:lang w:val="de-DE"/>
        </w:rPr>
        <w:t>,</w:t>
      </w:r>
      <w:r w:rsidR="00C62101">
        <w:rPr>
          <w:lang w:val="de-DE"/>
        </w:rPr>
        <w:t xml:space="preserve"> </w:t>
      </w:r>
      <w:r w:rsidR="00A5347E">
        <w:rPr>
          <w:lang w:val="de-DE"/>
        </w:rPr>
        <w:t xml:space="preserve">nicht zuletzt </w:t>
      </w:r>
      <w:r w:rsidR="00DA35CA">
        <w:rPr>
          <w:lang w:val="de-DE"/>
        </w:rPr>
        <w:t>aufgrund</w:t>
      </w:r>
      <w:r w:rsidR="00A5347E">
        <w:rPr>
          <w:lang w:val="de-DE"/>
        </w:rPr>
        <w:t xml:space="preserve"> </w:t>
      </w:r>
      <w:r w:rsidR="00DA35CA">
        <w:rPr>
          <w:lang w:val="de-DE"/>
        </w:rPr>
        <w:t>des</w:t>
      </w:r>
      <w:r w:rsidR="00CE0BA4">
        <w:rPr>
          <w:lang w:val="de-DE"/>
        </w:rPr>
        <w:t xml:space="preserve"> starke</w:t>
      </w:r>
      <w:r w:rsidR="00DA35CA">
        <w:rPr>
          <w:lang w:val="de-DE"/>
        </w:rPr>
        <w:t>n</w:t>
      </w:r>
      <w:r w:rsidR="00CE0BA4">
        <w:rPr>
          <w:lang w:val="de-DE"/>
        </w:rPr>
        <w:t xml:space="preserve"> </w:t>
      </w:r>
      <w:r w:rsidR="009663BE">
        <w:rPr>
          <w:lang w:val="de-DE"/>
        </w:rPr>
        <w:t>Geschäft</w:t>
      </w:r>
      <w:r w:rsidR="00DA35CA">
        <w:rPr>
          <w:lang w:val="de-DE"/>
        </w:rPr>
        <w:t>s</w:t>
      </w:r>
      <w:r w:rsidR="009663BE">
        <w:rPr>
          <w:lang w:val="de-DE"/>
        </w:rPr>
        <w:t xml:space="preserve"> rund um die </w:t>
      </w:r>
      <w:r w:rsidR="00DA35CA">
        <w:rPr>
          <w:lang w:val="de-DE"/>
        </w:rPr>
        <w:t>i</w:t>
      </w:r>
      <w:r w:rsidR="005A21B8">
        <w:rPr>
          <w:lang w:val="de-DE"/>
        </w:rPr>
        <w:t xml:space="preserve">m </w:t>
      </w:r>
      <w:r w:rsidR="00DD2AF2">
        <w:rPr>
          <w:lang w:val="de-DE"/>
        </w:rPr>
        <w:t>ersten Halbjahr</w:t>
      </w:r>
      <w:r w:rsidR="009C4B2C">
        <w:rPr>
          <w:lang w:val="de-DE"/>
        </w:rPr>
        <w:t xml:space="preserve"> </w:t>
      </w:r>
      <w:r w:rsidR="005A21B8">
        <w:rPr>
          <w:lang w:val="de-DE"/>
        </w:rPr>
        <w:t xml:space="preserve">stattgefundene </w:t>
      </w:r>
      <w:r w:rsidR="009663BE">
        <w:rPr>
          <w:lang w:val="de-DE"/>
        </w:rPr>
        <w:t>Leitmesse drupa</w:t>
      </w:r>
      <w:r w:rsidR="00E70E95">
        <w:rPr>
          <w:lang w:val="de-DE"/>
        </w:rPr>
        <w:t>,</w:t>
      </w:r>
      <w:r w:rsidR="009663BE">
        <w:rPr>
          <w:lang w:val="de-DE"/>
        </w:rPr>
        <w:t xml:space="preserve"> </w:t>
      </w:r>
      <w:r w:rsidR="001B06ED">
        <w:rPr>
          <w:lang w:val="de-DE"/>
        </w:rPr>
        <w:t>deutlich</w:t>
      </w:r>
      <w:r w:rsidR="00531347">
        <w:rPr>
          <w:lang w:val="de-DE"/>
        </w:rPr>
        <w:t xml:space="preserve"> und führte zum </w:t>
      </w:r>
      <w:r w:rsidR="00257059">
        <w:rPr>
          <w:lang w:val="de-DE"/>
        </w:rPr>
        <w:t>höchsten</w:t>
      </w:r>
      <w:r w:rsidR="00531347">
        <w:rPr>
          <w:lang w:val="de-DE"/>
        </w:rPr>
        <w:t xml:space="preserve"> Auftragsbestand der Unternehmensgeschichte mit </w:t>
      </w:r>
      <w:r w:rsidR="00A83017">
        <w:rPr>
          <w:lang w:val="de-DE"/>
        </w:rPr>
        <w:t>1.080,0 Mio. €</w:t>
      </w:r>
      <w:r w:rsidR="00531347">
        <w:rPr>
          <w:lang w:val="de-DE"/>
        </w:rPr>
        <w:t xml:space="preserve">. </w:t>
      </w:r>
      <w:r w:rsidR="009C4B2C" w:rsidRPr="009C4B2C">
        <w:rPr>
          <w:lang w:val="de-DE"/>
        </w:rPr>
        <w:t>Dieser Auftragsbestand wirkt zu einem großen Teil nach dem Jahr 2024 und verteilt sich unterschiedlich auf die Segmente</w:t>
      </w:r>
      <w:r w:rsidR="000F7A89">
        <w:rPr>
          <w:lang w:val="de-DE"/>
        </w:rPr>
        <w:t xml:space="preserve">, wodurch eine gute Basis für eine erfolgreiche Entwicklung </w:t>
      </w:r>
      <w:r w:rsidR="009D43F2">
        <w:rPr>
          <w:lang w:val="de-DE"/>
        </w:rPr>
        <w:t xml:space="preserve">und ein starkes Schlussquartal </w:t>
      </w:r>
      <w:r w:rsidR="000F7A89">
        <w:rPr>
          <w:lang w:val="de-DE"/>
        </w:rPr>
        <w:t>gelegt wurde</w:t>
      </w:r>
      <w:r w:rsidR="009C4B2C" w:rsidRPr="009C4B2C">
        <w:rPr>
          <w:lang w:val="de-DE"/>
        </w:rPr>
        <w:t xml:space="preserve">. </w:t>
      </w:r>
      <w:r w:rsidR="00D427E5">
        <w:rPr>
          <w:lang w:val="de-DE"/>
        </w:rPr>
        <w:t>Entsprechend bestätigt Koenig &amp; Bauer</w:t>
      </w:r>
      <w:r w:rsidR="00592437">
        <w:rPr>
          <w:lang w:val="de-DE"/>
        </w:rPr>
        <w:t xml:space="preserve"> </w:t>
      </w:r>
      <w:r w:rsidR="00D427E5">
        <w:rPr>
          <w:lang w:val="de-DE"/>
        </w:rPr>
        <w:t xml:space="preserve">die Prognose für das Gesamtjahr 2024 </w:t>
      </w:r>
      <w:r w:rsidR="00006AC7">
        <w:rPr>
          <w:lang w:val="de-DE"/>
        </w:rPr>
        <w:t>–</w:t>
      </w:r>
      <w:r w:rsidR="00D427E5">
        <w:rPr>
          <w:lang w:val="de-DE"/>
        </w:rPr>
        <w:t xml:space="preserve"> ein </w:t>
      </w:r>
      <w:r w:rsidR="005D3F4A">
        <w:rPr>
          <w:lang w:val="de-DE"/>
        </w:rPr>
        <w:t xml:space="preserve">Konzernumsatz von 1,3 Mrd. € und ein </w:t>
      </w:r>
      <w:r w:rsidR="00D427E5">
        <w:rPr>
          <w:lang w:val="de-DE"/>
        </w:rPr>
        <w:t xml:space="preserve">operatives EBIT am unteren Ende des </w:t>
      </w:r>
      <w:r w:rsidR="00D427E5" w:rsidRPr="003B55F6">
        <w:rPr>
          <w:lang w:val="de-DE"/>
        </w:rPr>
        <w:t>Korridors von 25 bis 40</w:t>
      </w:r>
      <w:r w:rsidR="00D427E5">
        <w:rPr>
          <w:lang w:val="de-DE"/>
        </w:rPr>
        <w:t> </w:t>
      </w:r>
      <w:r w:rsidR="00D427E5" w:rsidRPr="003B55F6">
        <w:rPr>
          <w:lang w:val="de-DE"/>
        </w:rPr>
        <w:t>Mio.</w:t>
      </w:r>
      <w:r w:rsidR="00D427E5">
        <w:rPr>
          <w:lang w:val="de-DE"/>
        </w:rPr>
        <w:t> </w:t>
      </w:r>
      <w:r w:rsidR="00D427E5" w:rsidRPr="000914A2">
        <w:rPr>
          <w:lang w:val="de-DE"/>
        </w:rPr>
        <w:t>€.</w:t>
      </w:r>
    </w:p>
    <w:p w14:paraId="7B7EF4B6" w14:textId="165901C9" w:rsidR="00DB1DE2" w:rsidRDefault="00161C57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lastRenderedPageBreak/>
        <w:t xml:space="preserve">Vorstandsvorsitzender Dr. Andreas </w:t>
      </w:r>
      <w:proofErr w:type="spellStart"/>
      <w:r>
        <w:rPr>
          <w:lang w:val="de-DE"/>
        </w:rPr>
        <w:t>Pleßke</w:t>
      </w:r>
      <w:proofErr w:type="spellEnd"/>
      <w:r>
        <w:rPr>
          <w:lang w:val="de-DE"/>
        </w:rPr>
        <w:t xml:space="preserve"> kommentiert: „</w:t>
      </w:r>
      <w:r w:rsidR="00042B12">
        <w:rPr>
          <w:lang w:val="de-DE"/>
        </w:rPr>
        <w:t>Die Neun-Monats-Zahlen</w:t>
      </w:r>
      <w:r w:rsidR="00DC214E">
        <w:rPr>
          <w:lang w:val="de-DE"/>
        </w:rPr>
        <w:t xml:space="preserve"> </w:t>
      </w:r>
      <w:r w:rsidR="00982363">
        <w:rPr>
          <w:lang w:val="de-DE"/>
        </w:rPr>
        <w:t>belegen</w:t>
      </w:r>
      <w:r w:rsidR="00DC214E">
        <w:rPr>
          <w:lang w:val="de-DE"/>
        </w:rPr>
        <w:t xml:space="preserve">, dass wir mit der Umsetzung </w:t>
      </w:r>
      <w:r w:rsidR="00FF348B">
        <w:rPr>
          <w:lang w:val="de-DE"/>
        </w:rPr>
        <w:t>unseres</w:t>
      </w:r>
      <w:r w:rsidR="00DC214E">
        <w:rPr>
          <w:lang w:val="de-DE"/>
        </w:rPr>
        <w:t xml:space="preserve"> Fokusprogramms </w:t>
      </w:r>
      <w:r w:rsidR="00E70E95">
        <w:rPr>
          <w:lang w:val="de-DE"/>
        </w:rPr>
        <w:t>“</w:t>
      </w:r>
      <w:r w:rsidR="00667832">
        <w:rPr>
          <w:lang w:val="de-DE"/>
        </w:rPr>
        <w:t>Spotlight</w:t>
      </w:r>
      <w:r w:rsidR="00E70E95">
        <w:rPr>
          <w:lang w:val="de-DE"/>
        </w:rPr>
        <w:t>“</w:t>
      </w:r>
      <w:r w:rsidR="00667832">
        <w:rPr>
          <w:lang w:val="de-DE"/>
        </w:rPr>
        <w:t xml:space="preserve"> auf dem richtigen Weg sind. Das konjunkturelle Umfeld </w:t>
      </w:r>
      <w:r w:rsidR="001F0932">
        <w:rPr>
          <w:lang w:val="de-DE"/>
        </w:rPr>
        <w:t xml:space="preserve">blieb auch im dritten Quartal 2024 </w:t>
      </w:r>
      <w:r w:rsidR="005F35BD">
        <w:rPr>
          <w:lang w:val="de-DE"/>
        </w:rPr>
        <w:t xml:space="preserve">außerordentlich </w:t>
      </w:r>
      <w:r w:rsidR="001F0932">
        <w:rPr>
          <w:lang w:val="de-DE"/>
        </w:rPr>
        <w:t xml:space="preserve">herausfordernd. Umso ermutigender ist es, dass wir unser operatives Ergebnis </w:t>
      </w:r>
      <w:r w:rsidR="008213A6">
        <w:rPr>
          <w:lang w:val="de-DE"/>
        </w:rPr>
        <w:t>im Q3 verglichen mit dem Vorquartal deutlich steigern konnten.</w:t>
      </w:r>
      <w:r w:rsidR="00907E2C">
        <w:rPr>
          <w:lang w:val="de-DE"/>
        </w:rPr>
        <w:t xml:space="preserve"> </w:t>
      </w:r>
      <w:r w:rsidR="002D2B3C">
        <w:rPr>
          <w:lang w:val="de-DE"/>
        </w:rPr>
        <w:t xml:space="preserve">Mit einem Rekordauftragsbestand im Rücken </w:t>
      </w:r>
      <w:r w:rsidR="00907E2C">
        <w:rPr>
          <w:lang w:val="de-DE"/>
        </w:rPr>
        <w:t xml:space="preserve">können wir </w:t>
      </w:r>
      <w:r w:rsidR="009D43F2">
        <w:rPr>
          <w:lang w:val="de-DE"/>
        </w:rPr>
        <w:t xml:space="preserve">mit einem starken Schlussquartal rechnen und </w:t>
      </w:r>
      <w:r w:rsidR="00907E2C">
        <w:rPr>
          <w:lang w:val="de-DE"/>
        </w:rPr>
        <w:t xml:space="preserve">unsere bisherige Prognose sowohl für das Geschäftsjahr </w:t>
      </w:r>
      <w:r w:rsidR="00307075">
        <w:rPr>
          <w:lang w:val="de-DE"/>
        </w:rPr>
        <w:t xml:space="preserve">2024 </w:t>
      </w:r>
      <w:r w:rsidR="00907E2C">
        <w:rPr>
          <w:lang w:val="de-DE"/>
        </w:rPr>
        <w:t xml:space="preserve">als auch unseren </w:t>
      </w:r>
      <w:r w:rsidR="00307075">
        <w:rPr>
          <w:lang w:val="de-DE"/>
        </w:rPr>
        <w:t xml:space="preserve">mittelfristigen Ausblick für das Geschäftsjahr 2026 bestätigen. </w:t>
      </w:r>
      <w:r w:rsidR="00E70E95">
        <w:rPr>
          <w:lang w:val="de-DE"/>
        </w:rPr>
        <w:t>“</w:t>
      </w:r>
      <w:r w:rsidR="00307075">
        <w:rPr>
          <w:lang w:val="de-DE"/>
        </w:rPr>
        <w:t>Spotlight</w:t>
      </w:r>
      <w:r w:rsidR="00E70E95">
        <w:rPr>
          <w:lang w:val="de-DE"/>
        </w:rPr>
        <w:t>“</w:t>
      </w:r>
      <w:r w:rsidR="00574FD3">
        <w:rPr>
          <w:lang w:val="de-DE"/>
        </w:rPr>
        <w:t xml:space="preserve"> wird entscheidend zur Absicherung unserer Rentabilitätsziele beitragen</w:t>
      </w:r>
      <w:r w:rsidR="00D7695D">
        <w:rPr>
          <w:lang w:val="de-DE"/>
        </w:rPr>
        <w:t xml:space="preserve"> und unsere Wettbewerbsfähigkeit </w:t>
      </w:r>
      <w:r w:rsidR="002D2B3C">
        <w:rPr>
          <w:lang w:val="de-DE"/>
        </w:rPr>
        <w:t xml:space="preserve">weiter </w:t>
      </w:r>
      <w:r w:rsidR="00D7695D">
        <w:rPr>
          <w:lang w:val="de-DE"/>
        </w:rPr>
        <w:t>stärken</w:t>
      </w:r>
      <w:r w:rsidR="00574FD3">
        <w:rPr>
          <w:lang w:val="de-DE"/>
        </w:rPr>
        <w:t>.“</w:t>
      </w:r>
    </w:p>
    <w:p w14:paraId="09E5BEA3" w14:textId="16ABC449" w:rsidR="00A907B4" w:rsidRPr="003B55F6" w:rsidRDefault="00854FE8">
      <w:pPr>
        <w:pStyle w:val="berschrift3"/>
        <w:rPr>
          <w:lang w:val="de-DE"/>
        </w:rPr>
      </w:pPr>
      <w:bookmarkStart w:id="2" w:name="_heading=h.1fob9te" w:colFirst="0" w:colLast="0"/>
      <w:bookmarkEnd w:id="2"/>
      <w:r>
        <w:rPr>
          <w:lang w:val="de-DE"/>
        </w:rPr>
        <w:t xml:space="preserve">Neue </w:t>
      </w:r>
      <w:r w:rsidR="004B2569">
        <w:rPr>
          <w:lang w:val="de-DE"/>
        </w:rPr>
        <w:t xml:space="preserve">Auftragseingänge führen zum höchsten </w:t>
      </w:r>
      <w:r w:rsidR="00FF348B">
        <w:rPr>
          <w:lang w:val="de-DE"/>
        </w:rPr>
        <w:t>Auftragsbestand</w:t>
      </w:r>
      <w:r w:rsidR="0061334F">
        <w:rPr>
          <w:lang w:val="de-DE"/>
        </w:rPr>
        <w:t xml:space="preserve"> in der Unternehmensgeschichte</w:t>
      </w:r>
    </w:p>
    <w:p w14:paraId="29F883DC" w14:textId="5F68E844" w:rsidR="0092039C" w:rsidRDefault="005A0C61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 xml:space="preserve">Die Auftragseingänge stiegen in den ersten neun Monaten 2024 </w:t>
      </w:r>
      <w:r w:rsidR="0007428F">
        <w:rPr>
          <w:lang w:val="de-DE"/>
        </w:rPr>
        <w:t>um 18,9 % auf 9</w:t>
      </w:r>
      <w:r w:rsidR="00E70E95">
        <w:rPr>
          <w:lang w:val="de-DE"/>
        </w:rPr>
        <w:t>88</w:t>
      </w:r>
      <w:r w:rsidR="0007428F">
        <w:rPr>
          <w:lang w:val="de-DE"/>
        </w:rPr>
        <w:t>,1 Mio. €. Getr</w:t>
      </w:r>
      <w:r w:rsidR="0059338C">
        <w:rPr>
          <w:lang w:val="de-DE"/>
        </w:rPr>
        <w:t xml:space="preserve">ieben wurde diese Entwicklung von Auftragseingängen rund um die </w:t>
      </w:r>
      <w:r w:rsidR="00B861E9">
        <w:rPr>
          <w:lang w:val="de-DE"/>
        </w:rPr>
        <w:t xml:space="preserve">Branchenmesse </w:t>
      </w:r>
      <w:r w:rsidR="00A547A8">
        <w:rPr>
          <w:lang w:val="de-DE"/>
        </w:rPr>
        <w:t>drupa, d</w:t>
      </w:r>
      <w:r w:rsidR="000A5D40">
        <w:rPr>
          <w:lang w:val="de-DE"/>
        </w:rPr>
        <w:t xml:space="preserve">er weltweit größten Fachmesse für die Druck- und Grafikindustrie. Infolgedessen </w:t>
      </w:r>
      <w:r w:rsidR="00320A39">
        <w:rPr>
          <w:lang w:val="de-DE"/>
        </w:rPr>
        <w:t xml:space="preserve">erreichte </w:t>
      </w:r>
      <w:r w:rsidR="00C84DC6">
        <w:rPr>
          <w:lang w:val="de-DE"/>
        </w:rPr>
        <w:t xml:space="preserve">der Auftragsbestand </w:t>
      </w:r>
      <w:r w:rsidR="00320A39">
        <w:rPr>
          <w:lang w:val="de-DE"/>
        </w:rPr>
        <w:t xml:space="preserve">mit </w:t>
      </w:r>
      <w:r w:rsidR="00C84DC6">
        <w:rPr>
          <w:lang w:val="de-DE"/>
        </w:rPr>
        <w:t>1.080,0</w:t>
      </w:r>
      <w:r w:rsidR="00A8012A">
        <w:rPr>
          <w:lang w:val="de-DE"/>
        </w:rPr>
        <w:t> </w:t>
      </w:r>
      <w:r w:rsidR="00C84DC6">
        <w:rPr>
          <w:lang w:val="de-DE"/>
        </w:rPr>
        <w:t>Mio.</w:t>
      </w:r>
      <w:r w:rsidR="00A8012A">
        <w:rPr>
          <w:lang w:val="de-DE"/>
        </w:rPr>
        <w:t> </w:t>
      </w:r>
      <w:r w:rsidR="00C84DC6">
        <w:rPr>
          <w:lang w:val="de-DE"/>
        </w:rPr>
        <w:t>€ ein</w:t>
      </w:r>
      <w:r w:rsidR="00320A39">
        <w:rPr>
          <w:lang w:val="de-DE"/>
        </w:rPr>
        <w:t>en</w:t>
      </w:r>
      <w:r w:rsidR="005830DB">
        <w:rPr>
          <w:lang w:val="de-DE"/>
        </w:rPr>
        <w:t xml:space="preserve"> </w:t>
      </w:r>
      <w:r w:rsidR="00C84DC6">
        <w:rPr>
          <w:lang w:val="de-DE"/>
        </w:rPr>
        <w:t>Rekordwert</w:t>
      </w:r>
      <w:r w:rsidR="003A70A4">
        <w:rPr>
          <w:lang w:val="de-DE"/>
        </w:rPr>
        <w:t>.</w:t>
      </w:r>
      <w:r w:rsidR="002F16B6">
        <w:rPr>
          <w:lang w:val="de-DE"/>
        </w:rPr>
        <w:t xml:space="preserve"> </w:t>
      </w:r>
      <w:r w:rsidR="00D068FF">
        <w:rPr>
          <w:lang w:val="de-DE"/>
        </w:rPr>
        <w:t xml:space="preserve">Insgesamt zeigt </w:t>
      </w:r>
      <w:r w:rsidR="00036D94">
        <w:rPr>
          <w:lang w:val="de-DE"/>
        </w:rPr>
        <w:t>die erfolgreiche Entwicklung der Auftragseingänge</w:t>
      </w:r>
      <w:r w:rsidR="00D068FF">
        <w:rPr>
          <w:lang w:val="de-DE"/>
        </w:rPr>
        <w:t>, dass Koenig &amp; Bauer mit seiner breiten Aufstellung und seinen innovativen Produkten</w:t>
      </w:r>
      <w:r w:rsidR="00036D94">
        <w:rPr>
          <w:lang w:val="de-DE"/>
        </w:rPr>
        <w:t xml:space="preserve"> </w:t>
      </w:r>
      <w:r w:rsidR="00103A06">
        <w:rPr>
          <w:lang w:val="de-DE"/>
        </w:rPr>
        <w:t>exzellent am Markt positioniert ist.</w:t>
      </w:r>
    </w:p>
    <w:p w14:paraId="2B562C19" w14:textId="56A35D98" w:rsidR="0092039C" w:rsidRPr="003B55F6" w:rsidRDefault="00012558" w:rsidP="0092039C">
      <w:pPr>
        <w:pStyle w:val="berschrift3"/>
        <w:rPr>
          <w:lang w:val="de-DE"/>
        </w:rPr>
      </w:pPr>
      <w:r>
        <w:rPr>
          <w:lang w:val="de-DE"/>
        </w:rPr>
        <w:t>Segment-</w:t>
      </w:r>
      <w:r w:rsidR="0092039C">
        <w:rPr>
          <w:lang w:val="de-DE"/>
        </w:rPr>
        <w:t xml:space="preserve">Highlights im dritten Quartal </w:t>
      </w:r>
      <w:r>
        <w:rPr>
          <w:lang w:val="de-DE"/>
        </w:rPr>
        <w:t>2024</w:t>
      </w:r>
    </w:p>
    <w:p w14:paraId="0CAFFC42" w14:textId="29E78D4B" w:rsidR="00C56E2F" w:rsidRDefault="0092039C" w:rsidP="003966BE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 w:rsidRPr="0092039C">
        <w:rPr>
          <w:lang w:val="de-DE"/>
        </w:rPr>
        <w:t>Die Geschäftseinheit Banknote S</w:t>
      </w:r>
      <w:r>
        <w:rPr>
          <w:lang w:val="de-DE"/>
        </w:rPr>
        <w:t xml:space="preserve">olutions hat in Q3 erneut einen </w:t>
      </w:r>
      <w:r w:rsidRPr="0092039C">
        <w:rPr>
          <w:lang w:val="de-DE"/>
        </w:rPr>
        <w:t xml:space="preserve">Tender vom Bureau </w:t>
      </w:r>
      <w:proofErr w:type="spellStart"/>
      <w:r w:rsidRPr="0092039C">
        <w:rPr>
          <w:lang w:val="de-DE"/>
        </w:rPr>
        <w:t>of</w:t>
      </w:r>
      <w:proofErr w:type="spellEnd"/>
      <w:r w:rsidRPr="0092039C">
        <w:rPr>
          <w:lang w:val="de-DE"/>
        </w:rPr>
        <w:t xml:space="preserve"> </w:t>
      </w:r>
      <w:proofErr w:type="spellStart"/>
      <w:r w:rsidRPr="0092039C">
        <w:rPr>
          <w:lang w:val="de-DE"/>
        </w:rPr>
        <w:t>Engraving</w:t>
      </w:r>
      <w:proofErr w:type="spellEnd"/>
      <w:r w:rsidRPr="0092039C">
        <w:rPr>
          <w:lang w:val="de-DE"/>
        </w:rPr>
        <w:t xml:space="preserve"> </w:t>
      </w:r>
      <w:proofErr w:type="spellStart"/>
      <w:r w:rsidRPr="0092039C">
        <w:rPr>
          <w:lang w:val="de-DE"/>
        </w:rPr>
        <w:t>and</w:t>
      </w:r>
      <w:proofErr w:type="spellEnd"/>
      <w:r w:rsidRPr="0092039C">
        <w:rPr>
          <w:lang w:val="de-DE"/>
        </w:rPr>
        <w:t xml:space="preserve"> </w:t>
      </w:r>
      <w:proofErr w:type="spellStart"/>
      <w:r w:rsidR="00513805">
        <w:rPr>
          <w:lang w:val="de-DE"/>
        </w:rPr>
        <w:t>Printing</w:t>
      </w:r>
      <w:proofErr w:type="spellEnd"/>
      <w:r w:rsidR="00513805">
        <w:rPr>
          <w:lang w:val="de-DE"/>
        </w:rPr>
        <w:t xml:space="preserve"> (</w:t>
      </w:r>
      <w:r>
        <w:rPr>
          <w:lang w:val="de-DE"/>
        </w:rPr>
        <w:t xml:space="preserve">BEP), der </w:t>
      </w:r>
      <w:r w:rsidRPr="0092039C">
        <w:rPr>
          <w:lang w:val="de-DE"/>
        </w:rPr>
        <w:t>Bundesdruckerei der Ver</w:t>
      </w:r>
      <w:r>
        <w:rPr>
          <w:lang w:val="de-DE"/>
        </w:rPr>
        <w:t xml:space="preserve">einigten Staaten von Amerika in </w:t>
      </w:r>
      <w:r w:rsidRPr="0092039C">
        <w:rPr>
          <w:lang w:val="de-DE"/>
        </w:rPr>
        <w:t>Washington, D.C., positi</w:t>
      </w:r>
      <w:r>
        <w:rPr>
          <w:lang w:val="de-DE"/>
        </w:rPr>
        <w:t xml:space="preserve">v beschieden bekommen und somit </w:t>
      </w:r>
      <w:r w:rsidRPr="0092039C">
        <w:rPr>
          <w:lang w:val="de-DE"/>
        </w:rPr>
        <w:t>die Erteilung des Auftrags</w:t>
      </w:r>
      <w:r>
        <w:rPr>
          <w:lang w:val="de-DE"/>
        </w:rPr>
        <w:t xml:space="preserve"> für weitere Banknotenmaschinen </w:t>
      </w:r>
      <w:r w:rsidRPr="0092039C">
        <w:rPr>
          <w:lang w:val="de-DE"/>
        </w:rPr>
        <w:t>erhalten.</w:t>
      </w:r>
      <w:r>
        <w:rPr>
          <w:lang w:val="de-DE"/>
        </w:rPr>
        <w:t xml:space="preserve"> </w:t>
      </w:r>
      <w:r w:rsidRPr="0092039C">
        <w:rPr>
          <w:lang w:val="de-DE"/>
        </w:rPr>
        <w:t>Der Werksabnahme</w:t>
      </w:r>
      <w:r w:rsidR="00D86904">
        <w:rPr>
          <w:lang w:val="de-DE"/>
        </w:rPr>
        <w:t xml:space="preserve"> T</w:t>
      </w:r>
      <w:r w:rsidRPr="0092039C">
        <w:rPr>
          <w:lang w:val="de-DE"/>
        </w:rPr>
        <w:t>es</w:t>
      </w:r>
      <w:r>
        <w:rPr>
          <w:lang w:val="de-DE"/>
        </w:rPr>
        <w:t xml:space="preserve">t der ersten Maschine des neuen </w:t>
      </w:r>
      <w:r w:rsidRPr="0092039C">
        <w:rPr>
          <w:lang w:val="de-DE"/>
        </w:rPr>
        <w:t>Jahres wird ab der zweiten Jah</w:t>
      </w:r>
      <w:r>
        <w:rPr>
          <w:lang w:val="de-DE"/>
        </w:rPr>
        <w:t xml:space="preserve">reshälfte 2025 stattfinden. Die </w:t>
      </w:r>
      <w:r w:rsidRPr="0092039C">
        <w:rPr>
          <w:lang w:val="de-DE"/>
        </w:rPr>
        <w:t>Auslieferung der weiteren Ma</w:t>
      </w:r>
      <w:r>
        <w:rPr>
          <w:lang w:val="de-DE"/>
        </w:rPr>
        <w:t xml:space="preserve">schinen wird über mehrere Jahre </w:t>
      </w:r>
      <w:r w:rsidRPr="0092039C">
        <w:rPr>
          <w:lang w:val="de-DE"/>
        </w:rPr>
        <w:t>erfolgen.</w:t>
      </w:r>
      <w:r>
        <w:rPr>
          <w:lang w:val="de-DE"/>
        </w:rPr>
        <w:t xml:space="preserve"> </w:t>
      </w:r>
      <w:r w:rsidR="005C38D6" w:rsidRPr="005C38D6">
        <w:rPr>
          <w:lang w:val="de-DE"/>
        </w:rPr>
        <w:t>Maßgeblich aufgrund des A</w:t>
      </w:r>
      <w:r w:rsidR="005C38D6">
        <w:rPr>
          <w:lang w:val="de-DE"/>
        </w:rPr>
        <w:t xml:space="preserve">uftragseingangs in Q4 23 ist im </w:t>
      </w:r>
      <w:r w:rsidR="005C38D6" w:rsidRPr="005C38D6">
        <w:rPr>
          <w:lang w:val="de-DE"/>
        </w:rPr>
        <w:t>diesjährigen Sc</w:t>
      </w:r>
      <w:r w:rsidR="005C38D6">
        <w:rPr>
          <w:lang w:val="de-DE"/>
        </w:rPr>
        <w:t xml:space="preserve">hlussquartal im Segment Special </w:t>
      </w:r>
      <w:r w:rsidR="005C38D6" w:rsidRPr="005C38D6">
        <w:rPr>
          <w:lang w:val="de-DE"/>
        </w:rPr>
        <w:t>voraussich</w:t>
      </w:r>
      <w:r w:rsidR="00012558">
        <w:rPr>
          <w:lang w:val="de-DE"/>
        </w:rPr>
        <w:t>tlich mit einem operativen EBIT-</w:t>
      </w:r>
      <w:r w:rsidR="005C38D6" w:rsidRPr="005C38D6">
        <w:rPr>
          <w:lang w:val="de-DE"/>
        </w:rPr>
        <w:t>Beitrag z</w:t>
      </w:r>
      <w:r w:rsidR="005C38D6">
        <w:rPr>
          <w:lang w:val="de-DE"/>
        </w:rPr>
        <w:t xml:space="preserve">u </w:t>
      </w:r>
      <w:r w:rsidR="005C38D6" w:rsidRPr="005C38D6">
        <w:rPr>
          <w:lang w:val="de-DE"/>
        </w:rPr>
        <w:t>rechnen, der deutlic</w:t>
      </w:r>
      <w:r w:rsidR="005C38D6">
        <w:rPr>
          <w:lang w:val="de-DE"/>
        </w:rPr>
        <w:t xml:space="preserve">h über einer durchschnittlichen </w:t>
      </w:r>
      <w:r w:rsidR="003966BE">
        <w:rPr>
          <w:lang w:val="de-DE"/>
        </w:rPr>
        <w:t>Quartalsperformance liegt</w:t>
      </w:r>
      <w:r w:rsidR="005C38D6" w:rsidRPr="005C38D6">
        <w:rPr>
          <w:lang w:val="de-DE"/>
        </w:rPr>
        <w:t>.</w:t>
      </w:r>
      <w:r w:rsidR="003966BE">
        <w:rPr>
          <w:lang w:val="de-DE"/>
        </w:rPr>
        <w:t xml:space="preserve"> </w:t>
      </w:r>
      <w:r w:rsidR="003966BE">
        <w:rPr>
          <w:lang w:val="de-DE"/>
        </w:rPr>
        <w:br/>
      </w:r>
      <w:r>
        <w:rPr>
          <w:lang w:val="de-DE"/>
        </w:rPr>
        <w:t xml:space="preserve">Ein weiteres Highlight </w:t>
      </w:r>
      <w:r w:rsidR="003966BE">
        <w:rPr>
          <w:lang w:val="de-DE"/>
        </w:rPr>
        <w:t xml:space="preserve">ist der „Triple-Verkaufserfolg“ für Koenig &amp; Bauer </w:t>
      </w:r>
      <w:proofErr w:type="spellStart"/>
      <w:r w:rsidR="003966BE">
        <w:rPr>
          <w:lang w:val="de-DE"/>
        </w:rPr>
        <w:t>Celmacch</w:t>
      </w:r>
      <w:proofErr w:type="spellEnd"/>
      <w:r w:rsidR="003966BE">
        <w:rPr>
          <w:lang w:val="de-DE"/>
        </w:rPr>
        <w:t xml:space="preserve">. Es konnten </w:t>
      </w:r>
      <w:r w:rsidR="003966BE" w:rsidRPr="003966BE">
        <w:rPr>
          <w:lang w:val="de-DE"/>
        </w:rPr>
        <w:t>die erst</w:t>
      </w:r>
      <w:r w:rsidR="003966BE">
        <w:rPr>
          <w:lang w:val="de-DE"/>
        </w:rPr>
        <w:t xml:space="preserve">en Anlagen aus der Chroma-Serie nach </w:t>
      </w:r>
      <w:proofErr w:type="spellStart"/>
      <w:r w:rsidR="003966BE">
        <w:rPr>
          <w:lang w:val="de-DE"/>
        </w:rPr>
        <w:t>Greater</w:t>
      </w:r>
      <w:proofErr w:type="spellEnd"/>
      <w:r w:rsidR="003966BE">
        <w:rPr>
          <w:lang w:val="de-DE"/>
        </w:rPr>
        <w:t xml:space="preserve"> </w:t>
      </w:r>
      <w:proofErr w:type="spellStart"/>
      <w:r w:rsidR="003966BE" w:rsidRPr="003966BE">
        <w:rPr>
          <w:lang w:val="de-DE"/>
        </w:rPr>
        <w:t>Africa</w:t>
      </w:r>
      <w:proofErr w:type="spellEnd"/>
      <w:r w:rsidR="003966BE" w:rsidRPr="003966BE">
        <w:rPr>
          <w:lang w:val="de-DE"/>
        </w:rPr>
        <w:t xml:space="preserve"> (</w:t>
      </w:r>
      <w:r w:rsidR="003966BE">
        <w:rPr>
          <w:lang w:val="de-DE"/>
        </w:rPr>
        <w:t xml:space="preserve">Kenia) und </w:t>
      </w:r>
      <w:r w:rsidR="003966BE" w:rsidRPr="003966BE">
        <w:rPr>
          <w:lang w:val="de-DE"/>
        </w:rPr>
        <w:t>Asien (</w:t>
      </w:r>
      <w:r w:rsidR="003966BE">
        <w:rPr>
          <w:lang w:val="de-DE"/>
        </w:rPr>
        <w:t xml:space="preserve">Südkorea) verkauft werden. </w:t>
      </w:r>
      <w:r w:rsidR="003966BE" w:rsidRPr="003966BE">
        <w:rPr>
          <w:lang w:val="de-DE"/>
        </w:rPr>
        <w:t>Zusätzlich ging ers</w:t>
      </w:r>
      <w:r w:rsidR="003966BE">
        <w:rPr>
          <w:lang w:val="de-DE"/>
        </w:rPr>
        <w:t xml:space="preserve">tmalig seit den großen Fusionen </w:t>
      </w:r>
      <w:r w:rsidR="003966BE" w:rsidRPr="003966BE">
        <w:rPr>
          <w:lang w:val="de-DE"/>
        </w:rPr>
        <w:t xml:space="preserve">in </w:t>
      </w:r>
      <w:r w:rsidR="003966BE">
        <w:rPr>
          <w:lang w:val="de-DE"/>
        </w:rPr>
        <w:t xml:space="preserve">der Wellpappenbranche – die auch zu einer Kaufzurückhaltung geführt haben – wieder eine Maschine an </w:t>
      </w:r>
      <w:r w:rsidR="003966BE" w:rsidRPr="003966BE">
        <w:rPr>
          <w:lang w:val="de-DE"/>
        </w:rPr>
        <w:t>einen großen interna</w:t>
      </w:r>
      <w:r w:rsidR="003966BE">
        <w:rPr>
          <w:lang w:val="de-DE"/>
        </w:rPr>
        <w:t xml:space="preserve">tionalen Verpackungskunden nach </w:t>
      </w:r>
      <w:r w:rsidR="003966BE" w:rsidRPr="003966BE">
        <w:rPr>
          <w:lang w:val="de-DE"/>
        </w:rPr>
        <w:t>Eu</w:t>
      </w:r>
      <w:r w:rsidR="00F242D6">
        <w:rPr>
          <w:lang w:val="de-DE"/>
        </w:rPr>
        <w:t>r</w:t>
      </w:r>
      <w:r w:rsidR="003966BE" w:rsidRPr="003966BE">
        <w:rPr>
          <w:lang w:val="de-DE"/>
        </w:rPr>
        <w:t>opa</w:t>
      </w:r>
      <w:r w:rsidR="003966BE">
        <w:rPr>
          <w:lang w:val="de-DE"/>
        </w:rPr>
        <w:t xml:space="preserve">. </w:t>
      </w:r>
      <w:r w:rsidR="00193AE6" w:rsidRPr="00193AE6">
        <w:rPr>
          <w:lang w:val="de-DE"/>
        </w:rPr>
        <w:t>Die verkauften A</w:t>
      </w:r>
      <w:r w:rsidR="00193AE6">
        <w:rPr>
          <w:lang w:val="de-DE"/>
        </w:rPr>
        <w:t xml:space="preserve">nlagen werden im Jahr 2025 ihre </w:t>
      </w:r>
      <w:r w:rsidR="00193AE6" w:rsidRPr="00193AE6">
        <w:rPr>
          <w:lang w:val="de-DE"/>
        </w:rPr>
        <w:t>Produktion aufnehmen. E</w:t>
      </w:r>
      <w:r w:rsidR="00193AE6">
        <w:rPr>
          <w:lang w:val="de-DE"/>
        </w:rPr>
        <w:t>rklärtes Länderziel für weitere</w:t>
      </w:r>
      <w:r w:rsidR="00D566C5">
        <w:rPr>
          <w:lang w:val="de-DE"/>
        </w:rPr>
        <w:t xml:space="preserve"> </w:t>
      </w:r>
      <w:r w:rsidR="00193AE6" w:rsidRPr="00193AE6">
        <w:rPr>
          <w:lang w:val="de-DE"/>
        </w:rPr>
        <w:t>Installationen i</w:t>
      </w:r>
      <w:r w:rsidR="00BA2BB0">
        <w:rPr>
          <w:lang w:val="de-DE"/>
        </w:rPr>
        <w:t xml:space="preserve">m Jahr </w:t>
      </w:r>
      <w:r w:rsidR="00193AE6" w:rsidRPr="00193AE6">
        <w:rPr>
          <w:lang w:val="de-DE"/>
        </w:rPr>
        <w:t xml:space="preserve">2025 </w:t>
      </w:r>
      <w:r w:rsidR="00193AE6">
        <w:rPr>
          <w:lang w:val="de-DE"/>
        </w:rPr>
        <w:t xml:space="preserve">ist neben </w:t>
      </w:r>
      <w:r w:rsidR="00193AE6" w:rsidRPr="00193AE6">
        <w:rPr>
          <w:lang w:val="de-DE"/>
        </w:rPr>
        <w:t xml:space="preserve">Nordamerika </w:t>
      </w:r>
      <w:r w:rsidR="003966BE">
        <w:rPr>
          <w:lang w:val="de-DE"/>
        </w:rPr>
        <w:t>auch</w:t>
      </w:r>
      <w:r w:rsidR="003966BE" w:rsidRPr="00193AE6">
        <w:rPr>
          <w:lang w:val="de-DE"/>
        </w:rPr>
        <w:t xml:space="preserve"> </w:t>
      </w:r>
      <w:r w:rsidR="00193AE6" w:rsidRPr="00193AE6">
        <w:rPr>
          <w:lang w:val="de-DE"/>
        </w:rPr>
        <w:t>LATAM.</w:t>
      </w:r>
      <w:r w:rsidR="00193AE6">
        <w:rPr>
          <w:lang w:val="de-DE"/>
        </w:rPr>
        <w:t xml:space="preserve"> </w:t>
      </w:r>
      <w:r w:rsidR="003966BE">
        <w:rPr>
          <w:lang w:val="de-DE"/>
        </w:rPr>
        <w:br/>
      </w:r>
      <w:r w:rsidR="00BA2BB0">
        <w:rPr>
          <w:lang w:val="de-DE"/>
        </w:rPr>
        <w:t xml:space="preserve">Darüber hinaus standen in Q3 </w:t>
      </w:r>
      <w:r w:rsidR="00193AE6">
        <w:rPr>
          <w:lang w:val="de-DE"/>
        </w:rPr>
        <w:t>Digitaldrucklösungen ebenfalls im</w:t>
      </w:r>
      <w:r w:rsidR="00D566C5">
        <w:rPr>
          <w:lang w:val="de-DE"/>
        </w:rPr>
        <w:t xml:space="preserve"> </w:t>
      </w:r>
      <w:r>
        <w:rPr>
          <w:lang w:val="de-DE"/>
        </w:rPr>
        <w:t xml:space="preserve">Fokus unserer Kunden: </w:t>
      </w:r>
      <w:r w:rsidR="00D566C5">
        <w:rPr>
          <w:lang w:val="de-DE"/>
        </w:rPr>
        <w:t xml:space="preserve">so konnte </w:t>
      </w:r>
      <w:r w:rsidR="00BA2BB0">
        <w:rPr>
          <w:lang w:val="de-DE"/>
        </w:rPr>
        <w:t xml:space="preserve">nach ersten Vertriebserfolgen im Vorjahr </w:t>
      </w:r>
      <w:r w:rsidR="00D566C5">
        <w:rPr>
          <w:lang w:val="de-DE"/>
        </w:rPr>
        <w:t xml:space="preserve">eine weitere Rollendigitaldruckmaschine </w:t>
      </w:r>
      <w:proofErr w:type="spellStart"/>
      <w:r w:rsidR="00D566C5">
        <w:rPr>
          <w:lang w:val="de-DE"/>
        </w:rPr>
        <w:t>RotaJET</w:t>
      </w:r>
      <w:proofErr w:type="spellEnd"/>
      <w:r w:rsidR="00D566C5">
        <w:rPr>
          <w:lang w:val="de-DE"/>
        </w:rPr>
        <w:t xml:space="preserve"> nach Nordamerika verkauft werden. </w:t>
      </w:r>
      <w:r w:rsidR="00156605">
        <w:rPr>
          <w:lang w:val="de-DE"/>
        </w:rPr>
        <w:t>Verstärkt rücken auch digitale Verknüpfungen auf Verpackungen</w:t>
      </w:r>
      <w:r w:rsidR="000E3518">
        <w:rPr>
          <w:lang w:val="de-DE"/>
        </w:rPr>
        <w:t xml:space="preserve">, die sogenannten </w:t>
      </w:r>
      <w:proofErr w:type="spellStart"/>
      <w:r w:rsidR="000E3518">
        <w:rPr>
          <w:lang w:val="de-DE"/>
        </w:rPr>
        <w:t>Connected-Packaging</w:t>
      </w:r>
      <w:proofErr w:type="spellEnd"/>
      <w:r w:rsidR="000E3518">
        <w:rPr>
          <w:lang w:val="de-DE"/>
        </w:rPr>
        <w:t xml:space="preserve"> Lösungen, die von der Digital Unit eindrucksvoll auf der drupa dem Fachpublikum präsentiert wurden</w:t>
      </w:r>
      <w:r w:rsidR="00284459">
        <w:rPr>
          <w:lang w:val="de-DE"/>
        </w:rPr>
        <w:t xml:space="preserve"> in den Kunde</w:t>
      </w:r>
      <w:r w:rsidR="003966BE">
        <w:rPr>
          <w:lang w:val="de-DE"/>
        </w:rPr>
        <w:t>n</w:t>
      </w:r>
      <w:r w:rsidR="00284459">
        <w:rPr>
          <w:lang w:val="de-DE"/>
        </w:rPr>
        <w:t>fokus</w:t>
      </w:r>
      <w:r w:rsidR="000E3518">
        <w:rPr>
          <w:lang w:val="de-DE"/>
        </w:rPr>
        <w:t xml:space="preserve">. </w:t>
      </w:r>
      <w:r w:rsidR="001E1237">
        <w:rPr>
          <w:lang w:val="de-DE"/>
        </w:rPr>
        <w:t>Da</w:t>
      </w:r>
      <w:r w:rsidR="000E3518">
        <w:rPr>
          <w:lang w:val="de-DE"/>
        </w:rPr>
        <w:t>mit k</w:t>
      </w:r>
      <w:r w:rsidR="00284459">
        <w:rPr>
          <w:lang w:val="de-DE"/>
        </w:rPr>
        <w:t xml:space="preserve">ann </w:t>
      </w:r>
      <w:r w:rsidR="00E85037">
        <w:rPr>
          <w:lang w:val="de-DE"/>
        </w:rPr>
        <w:t xml:space="preserve">direkt auf der Produktverpackung eine interaktive Verbindung zwischen dem Endkunden und dem </w:t>
      </w:r>
      <w:proofErr w:type="spellStart"/>
      <w:r w:rsidR="00284459">
        <w:rPr>
          <w:lang w:val="de-DE"/>
        </w:rPr>
        <w:t>Brandowner</w:t>
      </w:r>
      <w:proofErr w:type="spellEnd"/>
      <w:r w:rsidR="00E85037">
        <w:rPr>
          <w:lang w:val="de-DE"/>
        </w:rPr>
        <w:t xml:space="preserve"> </w:t>
      </w:r>
      <w:r w:rsidR="00284459">
        <w:rPr>
          <w:lang w:val="de-DE"/>
        </w:rPr>
        <w:t>ge</w:t>
      </w:r>
      <w:r w:rsidR="00E85037">
        <w:rPr>
          <w:lang w:val="de-DE"/>
        </w:rPr>
        <w:t xml:space="preserve">schaffen </w:t>
      </w:r>
      <w:r w:rsidR="00284459">
        <w:rPr>
          <w:lang w:val="de-DE"/>
        </w:rPr>
        <w:t>werden</w:t>
      </w:r>
      <w:r w:rsidR="00D86904">
        <w:rPr>
          <w:lang w:val="de-DE"/>
        </w:rPr>
        <w:t>, der einen</w:t>
      </w:r>
      <w:r w:rsidR="00E85037">
        <w:rPr>
          <w:lang w:val="de-DE"/>
        </w:rPr>
        <w:t xml:space="preserve"> deutliche</w:t>
      </w:r>
      <w:r w:rsidR="00D86904">
        <w:rPr>
          <w:lang w:val="de-DE"/>
        </w:rPr>
        <w:t>n</w:t>
      </w:r>
      <w:r w:rsidR="00E85037">
        <w:rPr>
          <w:lang w:val="de-DE"/>
        </w:rPr>
        <w:t xml:space="preserve"> Mehrwert für beide Seiten generier</w:t>
      </w:r>
      <w:r w:rsidR="00284459">
        <w:rPr>
          <w:lang w:val="de-DE"/>
        </w:rPr>
        <w:t>t</w:t>
      </w:r>
      <w:r w:rsidR="00D86904">
        <w:rPr>
          <w:lang w:val="de-DE"/>
        </w:rPr>
        <w:t>.</w:t>
      </w:r>
      <w:r w:rsidR="0024470B">
        <w:rPr>
          <w:lang w:val="de-DE"/>
        </w:rPr>
        <w:t xml:space="preserve"> </w:t>
      </w:r>
    </w:p>
    <w:p w14:paraId="1DA7B603" w14:textId="667B093A" w:rsidR="00A907B4" w:rsidRPr="003B55F6" w:rsidRDefault="003B55F6">
      <w:pPr>
        <w:pStyle w:val="berschrift3"/>
        <w:rPr>
          <w:lang w:val="de-DE"/>
        </w:rPr>
      </w:pPr>
      <w:bookmarkStart w:id="3" w:name="_heading=h.nzex30uytjbc" w:colFirst="0" w:colLast="0"/>
      <w:bookmarkEnd w:id="3"/>
      <w:r w:rsidRPr="003B55F6">
        <w:rPr>
          <w:lang w:val="de-DE"/>
        </w:rPr>
        <w:t xml:space="preserve">Umsatz und Ergebnis in </w:t>
      </w:r>
      <w:r w:rsidR="003966BE" w:rsidRPr="003B55F6">
        <w:rPr>
          <w:lang w:val="de-DE"/>
        </w:rPr>
        <w:t>herausfordernde</w:t>
      </w:r>
      <w:r w:rsidR="003966BE">
        <w:rPr>
          <w:lang w:val="de-DE"/>
        </w:rPr>
        <w:t>m</w:t>
      </w:r>
      <w:r w:rsidR="003966BE" w:rsidRPr="003B55F6">
        <w:rPr>
          <w:lang w:val="de-DE"/>
        </w:rPr>
        <w:t xml:space="preserve"> </w:t>
      </w:r>
      <w:r w:rsidRPr="003B55F6">
        <w:rPr>
          <w:lang w:val="de-DE"/>
        </w:rPr>
        <w:t>Marktumfeld erwartungsgemäß unter Vorjahr</w:t>
      </w:r>
      <w:r w:rsidR="00DA7FBA">
        <w:rPr>
          <w:lang w:val="de-DE"/>
        </w:rPr>
        <w:t xml:space="preserve"> – jedoch mit sequenzieller Verbesserung</w:t>
      </w:r>
    </w:p>
    <w:p w14:paraId="67BB9974" w14:textId="1677F699" w:rsidR="00BF2B1D" w:rsidRDefault="00CC4ECD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 xml:space="preserve">Der </w:t>
      </w:r>
      <w:r w:rsidRPr="00D01F5C">
        <w:rPr>
          <w:b/>
          <w:lang w:val="de-DE"/>
        </w:rPr>
        <w:t>Konzernumsatz</w:t>
      </w:r>
      <w:r>
        <w:rPr>
          <w:lang w:val="de-DE"/>
        </w:rPr>
        <w:t xml:space="preserve"> </w:t>
      </w:r>
      <w:r w:rsidR="00DD1B0C">
        <w:rPr>
          <w:lang w:val="de-DE"/>
        </w:rPr>
        <w:t>verringerte</w:t>
      </w:r>
      <w:r>
        <w:rPr>
          <w:lang w:val="de-DE"/>
        </w:rPr>
        <w:t xml:space="preserve"> sich in den ersten neun Monaten 2024 </w:t>
      </w:r>
      <w:r w:rsidR="00826302">
        <w:rPr>
          <w:lang w:val="de-DE"/>
        </w:rPr>
        <w:t xml:space="preserve">in </w:t>
      </w:r>
      <w:r w:rsidR="00285151">
        <w:rPr>
          <w:lang w:val="de-DE"/>
        </w:rPr>
        <w:t>einem herausfordernden Marktumfeld</w:t>
      </w:r>
      <w:r w:rsidR="00826302">
        <w:rPr>
          <w:lang w:val="de-DE"/>
        </w:rPr>
        <w:t xml:space="preserve"> erwartungsgemäß um 8,0</w:t>
      </w:r>
      <w:r w:rsidR="00344C60">
        <w:rPr>
          <w:lang w:val="de-DE"/>
        </w:rPr>
        <w:t> </w:t>
      </w:r>
      <w:r w:rsidR="00826302">
        <w:rPr>
          <w:lang w:val="de-DE"/>
        </w:rPr>
        <w:t>% auf 819,6</w:t>
      </w:r>
      <w:r w:rsidR="00A8012A">
        <w:rPr>
          <w:lang w:val="de-DE"/>
        </w:rPr>
        <w:t> </w:t>
      </w:r>
      <w:r w:rsidR="00826302">
        <w:rPr>
          <w:lang w:val="de-DE"/>
        </w:rPr>
        <w:t>Mio.</w:t>
      </w:r>
      <w:r w:rsidR="00A8012A">
        <w:rPr>
          <w:lang w:val="de-DE"/>
        </w:rPr>
        <w:t> </w:t>
      </w:r>
      <w:r w:rsidR="00826302">
        <w:rPr>
          <w:lang w:val="de-DE"/>
        </w:rPr>
        <w:t xml:space="preserve">€. </w:t>
      </w:r>
      <w:r w:rsidR="00903563">
        <w:rPr>
          <w:lang w:val="de-DE"/>
        </w:rPr>
        <w:t xml:space="preserve">Diese Entwicklung </w:t>
      </w:r>
      <w:r w:rsidR="00AC4DDD">
        <w:rPr>
          <w:lang w:val="de-DE"/>
        </w:rPr>
        <w:t xml:space="preserve">geht </w:t>
      </w:r>
      <w:r w:rsidR="00903563">
        <w:rPr>
          <w:lang w:val="de-DE"/>
        </w:rPr>
        <w:t xml:space="preserve">insbesondere auf die </w:t>
      </w:r>
      <w:r w:rsidR="006D3C3B">
        <w:rPr>
          <w:lang w:val="de-DE"/>
        </w:rPr>
        <w:t xml:space="preserve">Auftragslage im Segment </w:t>
      </w:r>
      <w:proofErr w:type="spellStart"/>
      <w:r w:rsidR="006D3C3B">
        <w:rPr>
          <w:lang w:val="de-DE"/>
        </w:rPr>
        <w:t>Sheetfed</w:t>
      </w:r>
      <w:proofErr w:type="spellEnd"/>
      <w:r w:rsidR="006D3C3B">
        <w:rPr>
          <w:lang w:val="de-DE"/>
        </w:rPr>
        <w:t xml:space="preserve"> i</w:t>
      </w:r>
      <w:r w:rsidR="00E57BCB">
        <w:rPr>
          <w:lang w:val="de-DE"/>
        </w:rPr>
        <w:t>n</w:t>
      </w:r>
      <w:r w:rsidR="006D3C3B">
        <w:rPr>
          <w:lang w:val="de-DE"/>
        </w:rPr>
        <w:t xml:space="preserve"> Q3 </w:t>
      </w:r>
      <w:r w:rsidR="00155304">
        <w:rPr>
          <w:lang w:val="de-DE"/>
        </w:rPr>
        <w:t>2023</w:t>
      </w:r>
      <w:r w:rsidR="00DD34E4">
        <w:rPr>
          <w:lang w:val="de-DE"/>
        </w:rPr>
        <w:t xml:space="preserve"> </w:t>
      </w:r>
      <w:r w:rsidR="00AC4DDD">
        <w:rPr>
          <w:lang w:val="de-DE"/>
        </w:rPr>
        <w:t>zurück</w:t>
      </w:r>
      <w:r w:rsidR="006D3C3B">
        <w:rPr>
          <w:lang w:val="de-DE"/>
        </w:rPr>
        <w:t xml:space="preserve">, die sich produktionsbedingt </w:t>
      </w:r>
      <w:r w:rsidR="00255103">
        <w:rPr>
          <w:lang w:val="de-DE"/>
        </w:rPr>
        <w:t xml:space="preserve">erst zeitverzögert </w:t>
      </w:r>
      <w:r w:rsidR="006D3C3B">
        <w:rPr>
          <w:lang w:val="de-DE"/>
        </w:rPr>
        <w:t xml:space="preserve">im Berichtszeitraum </w:t>
      </w:r>
      <w:r w:rsidR="00D220CF">
        <w:rPr>
          <w:lang w:val="de-DE"/>
        </w:rPr>
        <w:t>auswirkt</w:t>
      </w:r>
      <w:r w:rsidR="00BD4E72">
        <w:rPr>
          <w:lang w:val="de-DE"/>
        </w:rPr>
        <w:t xml:space="preserve">, sowie </w:t>
      </w:r>
      <w:r w:rsidR="00255103">
        <w:rPr>
          <w:lang w:val="de-DE"/>
        </w:rPr>
        <w:t xml:space="preserve">auf </w:t>
      </w:r>
      <w:r w:rsidR="00792DCB">
        <w:rPr>
          <w:lang w:val="de-DE"/>
        </w:rPr>
        <w:t xml:space="preserve">einen produktionsbedingt geringeren </w:t>
      </w:r>
      <w:proofErr w:type="spellStart"/>
      <w:r w:rsidR="00792DCB">
        <w:rPr>
          <w:lang w:val="de-DE"/>
        </w:rPr>
        <w:t>Percentage-of-Completion</w:t>
      </w:r>
      <w:proofErr w:type="spellEnd"/>
      <w:r w:rsidR="00792DCB">
        <w:rPr>
          <w:lang w:val="de-DE"/>
        </w:rPr>
        <w:t xml:space="preserve"> (POC)-Leistungsfortschritt </w:t>
      </w:r>
      <w:r w:rsidR="004B5829">
        <w:rPr>
          <w:lang w:val="de-DE"/>
        </w:rPr>
        <w:t>in der Geschäftseinheit Banknote Solutions</w:t>
      </w:r>
      <w:r w:rsidR="00DD34E4">
        <w:rPr>
          <w:lang w:val="de-DE"/>
        </w:rPr>
        <w:t xml:space="preserve">. </w:t>
      </w:r>
      <w:r w:rsidR="009607E9">
        <w:rPr>
          <w:lang w:val="de-DE"/>
        </w:rPr>
        <w:t xml:space="preserve">Die </w:t>
      </w:r>
      <w:r w:rsidR="009607E9">
        <w:rPr>
          <w:lang w:val="de-DE"/>
        </w:rPr>
        <w:lastRenderedPageBreak/>
        <w:t xml:space="preserve">Betrachtung der Umsatzentwicklung </w:t>
      </w:r>
      <w:r w:rsidR="00F3403A">
        <w:rPr>
          <w:lang w:val="de-DE"/>
        </w:rPr>
        <w:t xml:space="preserve">der einzelnen Quartale verdeutlicht </w:t>
      </w:r>
      <w:r w:rsidR="00A87EF3">
        <w:rPr>
          <w:lang w:val="de-DE"/>
        </w:rPr>
        <w:t xml:space="preserve">jedoch </w:t>
      </w:r>
      <w:r w:rsidR="00F3403A">
        <w:rPr>
          <w:lang w:val="de-DE"/>
        </w:rPr>
        <w:t xml:space="preserve">den positiven Trend: Der Umsatz </w:t>
      </w:r>
      <w:r w:rsidR="006E6A97">
        <w:rPr>
          <w:lang w:val="de-DE"/>
        </w:rPr>
        <w:t>steigerte sich 2024 von Quartal zu Quartal.</w:t>
      </w:r>
    </w:p>
    <w:p w14:paraId="39B82731" w14:textId="7745267B" w:rsidR="004D6DB3" w:rsidRDefault="004D6DB3" w:rsidP="004D6DB3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 xml:space="preserve">Das </w:t>
      </w:r>
      <w:r w:rsidRPr="00D01F5C">
        <w:rPr>
          <w:b/>
          <w:lang w:val="de-DE"/>
        </w:rPr>
        <w:t>Konzern-EBIT</w:t>
      </w:r>
      <w:r>
        <w:rPr>
          <w:lang w:val="de-DE"/>
        </w:rPr>
        <w:t xml:space="preserve"> lag nach neun Monaten bei </w:t>
      </w:r>
      <w:r w:rsidR="00BB58C1">
        <w:rPr>
          <w:lang w:val="de-DE"/>
        </w:rPr>
        <w:t>-55,6 Mio. €</w:t>
      </w:r>
      <w:r w:rsidRPr="004D6DB3">
        <w:rPr>
          <w:lang w:val="de-DE"/>
        </w:rPr>
        <w:t xml:space="preserve">, was einer EBIT-Marge von -6,8 % </w:t>
      </w:r>
      <w:r w:rsidR="00B64462" w:rsidRPr="004D6DB3">
        <w:rPr>
          <w:lang w:val="de-DE"/>
        </w:rPr>
        <w:t>entspricht</w:t>
      </w:r>
      <w:r w:rsidR="00B64462">
        <w:rPr>
          <w:lang w:val="de-DE"/>
        </w:rPr>
        <w:t xml:space="preserve">, </w:t>
      </w:r>
      <w:r w:rsidRPr="004D6DB3">
        <w:rPr>
          <w:lang w:val="de-DE"/>
        </w:rPr>
        <w:t>nach -0,2 % im Vorjahr. Ursächli</w:t>
      </w:r>
      <w:r>
        <w:rPr>
          <w:lang w:val="de-DE"/>
        </w:rPr>
        <w:t xml:space="preserve">ch hierfür war insbesondere der </w:t>
      </w:r>
      <w:r w:rsidRPr="004D6DB3">
        <w:rPr>
          <w:lang w:val="de-DE"/>
        </w:rPr>
        <w:t>beschriebene Rückgang im Auftragseingang im dritten Quartal 2023, der in Summe auch zu einem negativen Volumen- u</w:t>
      </w:r>
      <w:r w:rsidR="00BB58C1">
        <w:rPr>
          <w:lang w:val="de-DE"/>
        </w:rPr>
        <w:t xml:space="preserve">nd Mixeffekt </w:t>
      </w:r>
      <w:r w:rsidRPr="004D6DB3">
        <w:rPr>
          <w:lang w:val="de-DE"/>
        </w:rPr>
        <w:t>geführt hat.</w:t>
      </w:r>
      <w:r>
        <w:rPr>
          <w:lang w:val="de-DE"/>
        </w:rPr>
        <w:t xml:space="preserve"> </w:t>
      </w:r>
      <w:r w:rsidRPr="004D6DB3">
        <w:rPr>
          <w:lang w:val="de-DE"/>
        </w:rPr>
        <w:t xml:space="preserve">Hinzu kam der nicht operative Sondereffekt in Höhe von 34,9 Mio. €, </w:t>
      </w:r>
      <w:r w:rsidR="00BB58C1">
        <w:rPr>
          <w:lang w:val="de-DE"/>
        </w:rPr>
        <w:t xml:space="preserve">hauptsächlich für </w:t>
      </w:r>
      <w:r w:rsidRPr="004D6DB3">
        <w:rPr>
          <w:lang w:val="de-DE"/>
        </w:rPr>
        <w:t xml:space="preserve">das Fokusprogramm "Spotlight" </w:t>
      </w:r>
      <w:r w:rsidR="00BB58C1">
        <w:rPr>
          <w:lang w:val="de-DE"/>
        </w:rPr>
        <w:t>und f</w:t>
      </w:r>
      <w:r w:rsidR="00BB58C1" w:rsidRPr="004D6DB3">
        <w:rPr>
          <w:lang w:val="de-DE"/>
        </w:rPr>
        <w:t>ür die Leitmesse drupa</w:t>
      </w:r>
      <w:r w:rsidR="00051C8A">
        <w:rPr>
          <w:lang w:val="de-DE"/>
        </w:rPr>
        <w:t>,</w:t>
      </w:r>
      <w:r w:rsidR="00BB58C1" w:rsidRPr="004D6DB3">
        <w:rPr>
          <w:lang w:val="de-DE"/>
        </w:rPr>
        <w:t xml:space="preserve"> </w:t>
      </w:r>
      <w:r w:rsidRPr="004D6DB3">
        <w:rPr>
          <w:lang w:val="de-DE"/>
        </w:rPr>
        <w:t>der das 9-Monatserg</w:t>
      </w:r>
      <w:r w:rsidR="00051C8A">
        <w:rPr>
          <w:lang w:val="de-DE"/>
        </w:rPr>
        <w:t>e</w:t>
      </w:r>
      <w:r w:rsidRPr="004D6DB3">
        <w:rPr>
          <w:lang w:val="de-DE"/>
        </w:rPr>
        <w:t>bnis</w:t>
      </w:r>
      <w:r w:rsidR="00E57BCB">
        <w:rPr>
          <w:lang w:val="de-DE"/>
        </w:rPr>
        <w:t xml:space="preserve"> erwartungsgemäß belastet hat. </w:t>
      </w:r>
      <w:r w:rsidRPr="004D6DB3">
        <w:rPr>
          <w:lang w:val="de-DE"/>
        </w:rPr>
        <w:t>Dementsprechend lag das operative EBIT nach neun Monaten bei -</w:t>
      </w:r>
      <w:r w:rsidR="00B64462">
        <w:rPr>
          <w:lang w:val="de-DE"/>
        </w:rPr>
        <w:t>20</w:t>
      </w:r>
      <w:r w:rsidRPr="004D6DB3">
        <w:rPr>
          <w:lang w:val="de-DE"/>
        </w:rPr>
        <w:t>,7 Mio. € (Vj.: -2,</w:t>
      </w:r>
      <w:r w:rsidR="00E57BCB">
        <w:rPr>
          <w:lang w:val="de-DE"/>
        </w:rPr>
        <w:t xml:space="preserve">1 Mio. €). Das operative EBIT in Q3 </w:t>
      </w:r>
      <w:r w:rsidRPr="004D6DB3">
        <w:rPr>
          <w:lang w:val="de-DE"/>
        </w:rPr>
        <w:t xml:space="preserve">lag bei 4,2 Mio. € und damit wie erwartet </w:t>
      </w:r>
      <w:r w:rsidR="00E57BCB">
        <w:rPr>
          <w:lang w:val="de-DE"/>
        </w:rPr>
        <w:t>besser als das operative EBIT in Q2</w:t>
      </w:r>
      <w:r w:rsidRPr="004D6DB3">
        <w:rPr>
          <w:lang w:val="de-DE"/>
        </w:rPr>
        <w:t xml:space="preserve"> mit -14,7 Mio. €.</w:t>
      </w:r>
    </w:p>
    <w:p w14:paraId="45FE5067" w14:textId="005A57B9" w:rsidR="00A907B4" w:rsidRDefault="006B631A">
      <w:pPr>
        <w:pBdr>
          <w:top w:val="nil"/>
          <w:left w:val="nil"/>
          <w:bottom w:val="nil"/>
          <w:right w:val="nil"/>
          <w:between w:val="nil"/>
        </w:pBdr>
        <w:rPr>
          <w:lang w:val="de-DE"/>
        </w:rPr>
      </w:pPr>
      <w:r>
        <w:rPr>
          <w:lang w:val="de-DE"/>
        </w:rPr>
        <w:t>B</w:t>
      </w:r>
      <w:r w:rsidR="003B55F6" w:rsidRPr="003B55F6">
        <w:rPr>
          <w:lang w:val="de-DE"/>
        </w:rPr>
        <w:t xml:space="preserve">ei einem unter Vorjahresniveau liegenden Zinsergebnis von </w:t>
      </w:r>
      <w:r>
        <w:rPr>
          <w:lang w:val="de-DE"/>
        </w:rPr>
        <w:t>-19,8</w:t>
      </w:r>
      <w:r w:rsidR="007703FF">
        <w:rPr>
          <w:b/>
          <w:lang w:val="de-DE"/>
        </w:rPr>
        <w:t> </w:t>
      </w:r>
      <w:r w:rsidR="003B55F6" w:rsidRPr="003B55F6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B55F6" w:rsidRPr="003B55F6">
        <w:rPr>
          <w:lang w:val="de-DE"/>
        </w:rPr>
        <w:t xml:space="preserve">€ </w:t>
      </w:r>
      <w:r w:rsidR="003B55F6" w:rsidRPr="000914A2">
        <w:rPr>
          <w:lang w:val="de-DE"/>
        </w:rPr>
        <w:t>ergibt sich ein Ergebnis vor Steuern von -</w:t>
      </w:r>
      <w:r w:rsidR="000520F4">
        <w:rPr>
          <w:lang w:val="de-DE"/>
        </w:rPr>
        <w:t>75,4</w:t>
      </w:r>
      <w:r w:rsidR="007703FF">
        <w:rPr>
          <w:b/>
          <w:lang w:val="de-DE"/>
        </w:rPr>
        <w:t> </w:t>
      </w:r>
      <w:r w:rsidR="003B55F6" w:rsidRPr="000914A2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B55F6" w:rsidRPr="000914A2">
        <w:rPr>
          <w:lang w:val="de-DE"/>
        </w:rPr>
        <w:t>€</w:t>
      </w:r>
      <w:r w:rsidR="006B529B">
        <w:rPr>
          <w:lang w:val="de-DE"/>
        </w:rPr>
        <w:t>.</w:t>
      </w:r>
      <w:r w:rsidR="003B55F6" w:rsidRPr="000914A2">
        <w:rPr>
          <w:lang w:val="de-DE"/>
        </w:rPr>
        <w:t xml:space="preserve"> </w:t>
      </w:r>
      <w:r w:rsidR="003B55F6" w:rsidRPr="003B55F6">
        <w:rPr>
          <w:lang w:val="de-DE"/>
        </w:rPr>
        <w:t xml:space="preserve">Nach Steuern vom Einkommen und Ertrag reduzierte sich das Konzernergebnis zum 30. </w:t>
      </w:r>
      <w:r w:rsidR="000520F4" w:rsidRPr="00162C35">
        <w:rPr>
          <w:lang w:val="de-DE"/>
        </w:rPr>
        <w:t>September</w:t>
      </w:r>
      <w:r w:rsidR="003B55F6" w:rsidRPr="00162C35">
        <w:rPr>
          <w:lang w:val="de-DE"/>
        </w:rPr>
        <w:t xml:space="preserve"> 2024 von -</w:t>
      </w:r>
      <w:r w:rsidR="00162C35" w:rsidRPr="00162C35">
        <w:rPr>
          <w:lang w:val="de-DE"/>
        </w:rPr>
        <w:t>12,2</w:t>
      </w:r>
      <w:r w:rsidR="007703FF">
        <w:rPr>
          <w:b/>
          <w:lang w:val="de-DE"/>
        </w:rPr>
        <w:t> </w:t>
      </w:r>
      <w:r w:rsidR="003B55F6" w:rsidRPr="00162C35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B55F6" w:rsidRPr="00162C35">
        <w:rPr>
          <w:lang w:val="de-DE"/>
        </w:rPr>
        <w:t>€ im Vorjahres</w:t>
      </w:r>
      <w:r w:rsidR="00162C35" w:rsidRPr="00162C35">
        <w:rPr>
          <w:lang w:val="de-DE"/>
        </w:rPr>
        <w:t xml:space="preserve">zeitraum </w:t>
      </w:r>
      <w:r w:rsidR="003B55F6" w:rsidRPr="00162C35">
        <w:rPr>
          <w:lang w:val="de-DE"/>
        </w:rPr>
        <w:t>auf -</w:t>
      </w:r>
      <w:r w:rsidR="00162C35" w:rsidRPr="00162C35">
        <w:rPr>
          <w:lang w:val="de-DE"/>
        </w:rPr>
        <w:t>77</w:t>
      </w:r>
      <w:r w:rsidR="003B55F6" w:rsidRPr="00162C35">
        <w:rPr>
          <w:lang w:val="de-DE"/>
        </w:rPr>
        <w:t>,3</w:t>
      </w:r>
      <w:r w:rsidR="007703FF">
        <w:rPr>
          <w:b/>
          <w:lang w:val="de-DE"/>
        </w:rPr>
        <w:t> </w:t>
      </w:r>
      <w:r w:rsidR="003B55F6" w:rsidRPr="00162C35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B55F6" w:rsidRPr="00162C35">
        <w:rPr>
          <w:lang w:val="de-DE"/>
        </w:rPr>
        <w:t xml:space="preserve">€. </w:t>
      </w:r>
      <w:r w:rsidR="003B55F6" w:rsidRPr="003B55F6">
        <w:rPr>
          <w:lang w:val="de-DE"/>
        </w:rPr>
        <w:t>Dies entspricht einem anteiligen Ergebnis je Aktie von -</w:t>
      </w:r>
      <w:r w:rsidR="00162C35">
        <w:rPr>
          <w:lang w:val="de-DE"/>
        </w:rPr>
        <w:t>4,69</w:t>
      </w:r>
      <w:r w:rsidR="007703FF">
        <w:rPr>
          <w:b/>
          <w:lang w:val="de-DE"/>
        </w:rPr>
        <w:t> </w:t>
      </w:r>
      <w:r w:rsidR="003B55F6" w:rsidRPr="003B55F6">
        <w:rPr>
          <w:lang w:val="de-DE"/>
        </w:rPr>
        <w:t>€ (Vj.: -0,</w:t>
      </w:r>
      <w:r w:rsidR="00162C35">
        <w:rPr>
          <w:lang w:val="de-DE"/>
        </w:rPr>
        <w:t>7</w:t>
      </w:r>
      <w:r w:rsidR="003B55F6" w:rsidRPr="003B55F6">
        <w:rPr>
          <w:lang w:val="de-DE"/>
        </w:rPr>
        <w:t>5</w:t>
      </w:r>
      <w:r w:rsidR="007703FF">
        <w:rPr>
          <w:b/>
          <w:lang w:val="de-DE"/>
        </w:rPr>
        <w:t> </w:t>
      </w:r>
      <w:r w:rsidR="003B55F6" w:rsidRPr="003B55F6">
        <w:rPr>
          <w:lang w:val="de-DE"/>
        </w:rPr>
        <w:t>€).</w:t>
      </w:r>
    </w:p>
    <w:p w14:paraId="0FBBCA73" w14:textId="244FBA91" w:rsidR="00A907B4" w:rsidRPr="003B55F6" w:rsidRDefault="003B55F6">
      <w:pPr>
        <w:pStyle w:val="berschrift3"/>
        <w:rPr>
          <w:lang w:val="de-DE"/>
        </w:rPr>
      </w:pPr>
      <w:bookmarkStart w:id="4" w:name="_heading=h.7w1qodvrcb0d" w:colFirst="0" w:colLast="0"/>
      <w:bookmarkEnd w:id="4"/>
      <w:r w:rsidRPr="003B55F6">
        <w:rPr>
          <w:lang w:val="de-DE"/>
        </w:rPr>
        <w:t>Gemischte</w:t>
      </w:r>
      <w:r w:rsidR="00C052FE">
        <w:rPr>
          <w:lang w:val="de-DE"/>
        </w:rPr>
        <w:t xml:space="preserve"> Geschäftsentwicklung der </w:t>
      </w:r>
      <w:r w:rsidRPr="003B55F6">
        <w:rPr>
          <w:lang w:val="de-DE"/>
        </w:rPr>
        <w:t>Segmente</w:t>
      </w:r>
    </w:p>
    <w:p w14:paraId="0CE6C814" w14:textId="114F829E" w:rsidR="00C51C7D" w:rsidRDefault="004C5FDF" w:rsidP="00413BE2">
      <w:pPr>
        <w:rPr>
          <w:lang w:val="de-DE"/>
        </w:rPr>
      </w:pPr>
      <w:r>
        <w:rPr>
          <w:lang w:val="de-DE"/>
        </w:rPr>
        <w:t xml:space="preserve">Im </w:t>
      </w:r>
      <w:r w:rsidRPr="00D43E93">
        <w:rPr>
          <w:b/>
          <w:bCs/>
          <w:lang w:val="de-DE"/>
        </w:rPr>
        <w:t xml:space="preserve">Segment </w:t>
      </w:r>
      <w:proofErr w:type="spellStart"/>
      <w:r w:rsidRPr="00D43E93">
        <w:rPr>
          <w:b/>
          <w:bCs/>
          <w:lang w:val="de-DE"/>
        </w:rPr>
        <w:t>Sheetfed</w:t>
      </w:r>
      <w:proofErr w:type="spellEnd"/>
      <w:r w:rsidR="002759DC">
        <w:rPr>
          <w:lang w:val="de-DE"/>
        </w:rPr>
        <w:t xml:space="preserve"> </w:t>
      </w:r>
      <w:r>
        <w:rPr>
          <w:lang w:val="de-DE"/>
        </w:rPr>
        <w:t>lag</w:t>
      </w:r>
      <w:r w:rsidR="00003B1D">
        <w:rPr>
          <w:lang w:val="de-DE"/>
        </w:rPr>
        <w:t xml:space="preserve"> </w:t>
      </w:r>
      <w:r w:rsidR="004F0204">
        <w:rPr>
          <w:lang w:val="de-DE"/>
        </w:rPr>
        <w:t>der</w:t>
      </w:r>
      <w:r w:rsidR="00003B1D">
        <w:rPr>
          <w:lang w:val="de-DE"/>
        </w:rPr>
        <w:t xml:space="preserve"> Auftragseing</w:t>
      </w:r>
      <w:r w:rsidR="004F0204">
        <w:rPr>
          <w:lang w:val="de-DE"/>
        </w:rPr>
        <w:t>a</w:t>
      </w:r>
      <w:r w:rsidR="00003B1D">
        <w:rPr>
          <w:lang w:val="de-DE"/>
        </w:rPr>
        <w:t xml:space="preserve">ng in den ersten neun Monaten </w:t>
      </w:r>
      <w:r w:rsidR="00C121AA">
        <w:rPr>
          <w:lang w:val="de-DE"/>
        </w:rPr>
        <w:t xml:space="preserve">mit </w:t>
      </w:r>
      <w:r w:rsidR="00C142B9">
        <w:rPr>
          <w:lang w:val="de-DE"/>
        </w:rPr>
        <w:t>511,7</w:t>
      </w:r>
      <w:r w:rsidR="007703FF">
        <w:rPr>
          <w:b/>
          <w:lang w:val="de-DE"/>
        </w:rPr>
        <w:t> </w:t>
      </w:r>
      <w:r w:rsidR="00C142B9">
        <w:rPr>
          <w:lang w:val="de-DE"/>
        </w:rPr>
        <w:t>Mio.</w:t>
      </w:r>
      <w:r w:rsidR="007703FF">
        <w:rPr>
          <w:b/>
          <w:lang w:val="de-DE"/>
        </w:rPr>
        <w:t> </w:t>
      </w:r>
      <w:r w:rsidR="00C142B9">
        <w:rPr>
          <w:lang w:val="de-DE"/>
        </w:rPr>
        <w:t xml:space="preserve">€ </w:t>
      </w:r>
      <w:r w:rsidR="00C121AA">
        <w:rPr>
          <w:lang w:val="de-DE"/>
        </w:rPr>
        <w:t xml:space="preserve">um </w:t>
      </w:r>
      <w:r w:rsidR="00051C8A">
        <w:rPr>
          <w:lang w:val="de-DE"/>
        </w:rPr>
        <w:br/>
      </w:r>
      <w:r w:rsidR="00C121AA">
        <w:rPr>
          <w:lang w:val="de-DE"/>
        </w:rPr>
        <w:t>12,6 % über dem Vorjahreswert</w:t>
      </w:r>
      <w:r w:rsidR="00DB3865">
        <w:rPr>
          <w:lang w:val="de-DE"/>
        </w:rPr>
        <w:t xml:space="preserve">. </w:t>
      </w:r>
      <w:r w:rsidR="00A46486">
        <w:rPr>
          <w:lang w:val="de-DE"/>
        </w:rPr>
        <w:t xml:space="preserve">Die Entwicklung in Q3 2024 knüpfte dabei mit Auftragseingängen </w:t>
      </w:r>
      <w:r w:rsidR="003D331E">
        <w:rPr>
          <w:lang w:val="de-DE"/>
        </w:rPr>
        <w:t>von 16</w:t>
      </w:r>
      <w:r w:rsidR="007101A9">
        <w:rPr>
          <w:lang w:val="de-DE"/>
        </w:rPr>
        <w:t>0</w:t>
      </w:r>
      <w:r w:rsidR="003D331E">
        <w:rPr>
          <w:lang w:val="de-DE"/>
        </w:rPr>
        <w:t>,9</w:t>
      </w:r>
      <w:r w:rsidR="007703FF">
        <w:rPr>
          <w:b/>
          <w:lang w:val="de-DE"/>
        </w:rPr>
        <w:t> </w:t>
      </w:r>
      <w:r w:rsidR="003D331E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D331E">
        <w:rPr>
          <w:lang w:val="de-DE"/>
        </w:rPr>
        <w:t>€ nahezu nahtlos an das starke Niveau der beiden Vorquartale an</w:t>
      </w:r>
      <w:r w:rsidR="00413BE2">
        <w:rPr>
          <w:lang w:val="de-DE"/>
        </w:rPr>
        <w:t xml:space="preserve">, </w:t>
      </w:r>
      <w:r w:rsidR="00413BE2" w:rsidRPr="00413BE2">
        <w:rPr>
          <w:lang w:val="de-DE"/>
        </w:rPr>
        <w:t>wobei der Auftragseingang in Q3 aufgrund der Sommermonate traditionell etwas schwächer ausfällt</w:t>
      </w:r>
      <w:r w:rsidR="00413BE2">
        <w:rPr>
          <w:lang w:val="de-DE"/>
        </w:rPr>
        <w:t>.</w:t>
      </w:r>
      <w:r w:rsidR="003D331E">
        <w:rPr>
          <w:lang w:val="de-DE"/>
        </w:rPr>
        <w:t xml:space="preserve"> </w:t>
      </w:r>
      <w:r w:rsidR="00C51C7D">
        <w:rPr>
          <w:lang w:val="de-DE"/>
        </w:rPr>
        <w:t xml:space="preserve">Die zeitverzögerte Wirkung der schwachen Auftragslage in Q3 2023 führte </w:t>
      </w:r>
      <w:r w:rsidR="00E11168">
        <w:rPr>
          <w:lang w:val="de-DE"/>
        </w:rPr>
        <w:t xml:space="preserve">im </w:t>
      </w:r>
      <w:r w:rsidR="000438F6">
        <w:rPr>
          <w:lang w:val="de-DE"/>
        </w:rPr>
        <w:t>9-Monats</w:t>
      </w:r>
      <w:r w:rsidR="00E11168">
        <w:rPr>
          <w:lang w:val="de-DE"/>
        </w:rPr>
        <w:t xml:space="preserve">zeitraum </w:t>
      </w:r>
      <w:r w:rsidR="00C51C7D">
        <w:rPr>
          <w:lang w:val="de-DE"/>
        </w:rPr>
        <w:t>zu einem Umsatzrückgang um 1</w:t>
      </w:r>
      <w:r w:rsidR="00B64462">
        <w:rPr>
          <w:lang w:val="de-DE"/>
        </w:rPr>
        <w:t>2</w:t>
      </w:r>
      <w:r w:rsidR="00C51C7D">
        <w:rPr>
          <w:lang w:val="de-DE"/>
        </w:rPr>
        <w:t>,</w:t>
      </w:r>
      <w:r w:rsidR="003B27E7">
        <w:rPr>
          <w:lang w:val="de-DE"/>
        </w:rPr>
        <w:t>2</w:t>
      </w:r>
      <w:r w:rsidR="003B27E7">
        <w:rPr>
          <w:b/>
          <w:lang w:val="de-DE"/>
        </w:rPr>
        <w:t> </w:t>
      </w:r>
      <w:r w:rsidR="00C51C7D">
        <w:rPr>
          <w:lang w:val="de-DE"/>
        </w:rPr>
        <w:t xml:space="preserve">% auf </w:t>
      </w:r>
      <w:r w:rsidR="00B64462">
        <w:rPr>
          <w:lang w:val="de-DE"/>
        </w:rPr>
        <w:t>466,4</w:t>
      </w:r>
      <w:r w:rsidR="007703FF">
        <w:rPr>
          <w:b/>
          <w:lang w:val="de-DE"/>
        </w:rPr>
        <w:t> </w:t>
      </w:r>
      <w:r w:rsidR="002B23B3">
        <w:rPr>
          <w:lang w:val="de-DE"/>
        </w:rPr>
        <w:t>Mio.</w:t>
      </w:r>
      <w:r w:rsidR="007703FF">
        <w:rPr>
          <w:b/>
          <w:lang w:val="de-DE"/>
        </w:rPr>
        <w:t> </w:t>
      </w:r>
      <w:r w:rsidR="002B23B3">
        <w:rPr>
          <w:lang w:val="de-DE"/>
        </w:rPr>
        <w:t xml:space="preserve">€. </w:t>
      </w:r>
      <w:r w:rsidR="00F67E37">
        <w:rPr>
          <w:lang w:val="de-DE"/>
        </w:rPr>
        <w:t xml:space="preserve">Das </w:t>
      </w:r>
      <w:r w:rsidR="00E11168">
        <w:rPr>
          <w:lang w:val="de-DE"/>
        </w:rPr>
        <w:t xml:space="preserve">EBIT lag mit </w:t>
      </w:r>
      <w:r w:rsidR="00E341F1" w:rsidRPr="00D01F5C">
        <w:rPr>
          <w:lang w:val="de-DE"/>
        </w:rPr>
        <w:t>0,0</w:t>
      </w:r>
      <w:r w:rsidR="007703FF">
        <w:rPr>
          <w:b/>
          <w:lang w:val="de-DE"/>
        </w:rPr>
        <w:t> </w:t>
      </w:r>
      <w:r w:rsidR="00E11168">
        <w:rPr>
          <w:lang w:val="de-DE"/>
        </w:rPr>
        <w:t>Mio.</w:t>
      </w:r>
      <w:r w:rsidR="007703FF">
        <w:rPr>
          <w:b/>
          <w:lang w:val="de-DE"/>
        </w:rPr>
        <w:t> </w:t>
      </w:r>
      <w:r w:rsidR="00E11168">
        <w:rPr>
          <w:lang w:val="de-DE"/>
        </w:rPr>
        <w:t>€</w:t>
      </w:r>
      <w:r w:rsidR="0032780C">
        <w:rPr>
          <w:lang w:val="de-DE"/>
        </w:rPr>
        <w:t xml:space="preserve"> unter dem Vorjahreswert von 12,1</w:t>
      </w:r>
      <w:r w:rsidR="007703FF">
        <w:rPr>
          <w:b/>
          <w:lang w:val="de-DE"/>
        </w:rPr>
        <w:t> </w:t>
      </w:r>
      <w:r w:rsidR="0032780C">
        <w:rPr>
          <w:lang w:val="de-DE"/>
        </w:rPr>
        <w:t>Mio.</w:t>
      </w:r>
      <w:r w:rsidR="007703FF">
        <w:rPr>
          <w:b/>
          <w:lang w:val="de-DE"/>
        </w:rPr>
        <w:t> </w:t>
      </w:r>
      <w:r w:rsidR="0032780C">
        <w:rPr>
          <w:lang w:val="de-DE"/>
        </w:rPr>
        <w:t>€</w:t>
      </w:r>
      <w:r w:rsidR="000438F6" w:rsidRPr="00D01F5C">
        <w:rPr>
          <w:lang w:val="de-DE"/>
        </w:rPr>
        <w:t xml:space="preserve"> </w:t>
      </w:r>
      <w:r w:rsidR="000438F6" w:rsidRPr="000438F6">
        <w:rPr>
          <w:lang w:val="de-DE"/>
        </w:rPr>
        <w:t>und enthält anteilig den nicht operativen Sondereffekt, davon 7,8 Mio. € für die Leitmesse drupa. Entspreche</w:t>
      </w:r>
      <w:r w:rsidR="000438F6">
        <w:rPr>
          <w:lang w:val="de-DE"/>
        </w:rPr>
        <w:t xml:space="preserve">nd lag die EBIT-Marge bei 0,0 %. </w:t>
      </w:r>
      <w:r w:rsidR="000438F6" w:rsidRPr="000438F6">
        <w:rPr>
          <w:lang w:val="de-DE"/>
        </w:rPr>
        <w:t>Das operative EBIT lag nach neun Monaten bei 7,8 Mio. €.</w:t>
      </w:r>
      <w:r w:rsidR="0032780C">
        <w:rPr>
          <w:lang w:val="de-DE"/>
        </w:rPr>
        <w:t xml:space="preserve"> </w:t>
      </w:r>
    </w:p>
    <w:p w14:paraId="0D755A6A" w14:textId="64BE12C3" w:rsidR="00AA1358" w:rsidRDefault="004F0204" w:rsidP="00114C71">
      <w:pPr>
        <w:rPr>
          <w:lang w:val="de-DE"/>
        </w:rPr>
      </w:pPr>
      <w:r>
        <w:rPr>
          <w:lang w:val="de-DE"/>
        </w:rPr>
        <w:t xml:space="preserve">Der Auftragseingang </w:t>
      </w:r>
      <w:r w:rsidR="003851FC">
        <w:rPr>
          <w:lang w:val="de-DE"/>
        </w:rPr>
        <w:t xml:space="preserve">im </w:t>
      </w:r>
      <w:r w:rsidR="003851FC" w:rsidRPr="00D43E93">
        <w:rPr>
          <w:b/>
          <w:bCs/>
          <w:lang w:val="de-DE"/>
        </w:rPr>
        <w:t xml:space="preserve">Segment Digital &amp; </w:t>
      </w:r>
      <w:proofErr w:type="spellStart"/>
      <w:r w:rsidR="003851FC" w:rsidRPr="00D43E93">
        <w:rPr>
          <w:b/>
          <w:bCs/>
          <w:lang w:val="de-DE"/>
        </w:rPr>
        <w:t>Webfed</w:t>
      </w:r>
      <w:proofErr w:type="spellEnd"/>
      <w:r w:rsidR="003851FC">
        <w:rPr>
          <w:lang w:val="de-DE"/>
        </w:rPr>
        <w:t xml:space="preserve"> </w:t>
      </w:r>
      <w:r w:rsidR="00AA1358">
        <w:rPr>
          <w:lang w:val="de-DE"/>
        </w:rPr>
        <w:t xml:space="preserve">von 107,3 Mio. € (Vj.:132,9 Mio. €) </w:t>
      </w:r>
      <w:r w:rsidR="00C5554A">
        <w:rPr>
          <w:lang w:val="de-DE"/>
        </w:rPr>
        <w:t>spiegelt</w:t>
      </w:r>
      <w:r w:rsidR="00AA1358">
        <w:rPr>
          <w:lang w:val="de-DE"/>
        </w:rPr>
        <w:t>e</w:t>
      </w:r>
      <w:r w:rsidR="00C5554A">
        <w:rPr>
          <w:lang w:val="de-DE"/>
        </w:rPr>
        <w:t xml:space="preserve"> die </w:t>
      </w:r>
      <w:r w:rsidR="003851FC">
        <w:rPr>
          <w:lang w:val="de-DE"/>
        </w:rPr>
        <w:t xml:space="preserve">temporäre Schwäche des Marktes für Wellpappe </w:t>
      </w:r>
      <w:r w:rsidR="001D2111">
        <w:rPr>
          <w:lang w:val="de-DE"/>
        </w:rPr>
        <w:t>wider</w:t>
      </w:r>
      <w:r w:rsidR="00AA1358">
        <w:rPr>
          <w:lang w:val="de-DE"/>
        </w:rPr>
        <w:t xml:space="preserve">. Nach </w:t>
      </w:r>
      <w:r w:rsidR="008F015A">
        <w:rPr>
          <w:lang w:val="de-DE"/>
        </w:rPr>
        <w:t>eine</w:t>
      </w:r>
      <w:r w:rsidR="00944850">
        <w:rPr>
          <w:lang w:val="de-DE"/>
        </w:rPr>
        <w:t>r überaus verhaltenen Entwicklung im ersten Halbjahr verlief die</w:t>
      </w:r>
      <w:r w:rsidR="00682F93">
        <w:rPr>
          <w:lang w:val="de-DE"/>
        </w:rPr>
        <w:t xml:space="preserve"> Entwicklung in Q3 2024 mit Auftragseingängen von 52,9</w:t>
      </w:r>
      <w:r w:rsidR="007703FF">
        <w:rPr>
          <w:b/>
          <w:lang w:val="de-DE"/>
        </w:rPr>
        <w:t> </w:t>
      </w:r>
      <w:r w:rsidR="00682F93">
        <w:rPr>
          <w:lang w:val="de-DE"/>
        </w:rPr>
        <w:t>Mio.</w:t>
      </w:r>
      <w:r w:rsidR="007703FF">
        <w:rPr>
          <w:b/>
          <w:lang w:val="de-DE"/>
        </w:rPr>
        <w:t> </w:t>
      </w:r>
      <w:r w:rsidR="00682F93">
        <w:rPr>
          <w:lang w:val="de-DE"/>
        </w:rPr>
        <w:t xml:space="preserve">€ </w:t>
      </w:r>
      <w:r w:rsidR="00D86904">
        <w:rPr>
          <w:lang w:val="de-DE"/>
        </w:rPr>
        <w:t xml:space="preserve">– </w:t>
      </w:r>
      <w:r w:rsidR="00B56D24">
        <w:rPr>
          <w:lang w:val="de-DE"/>
        </w:rPr>
        <w:t xml:space="preserve">auch </w:t>
      </w:r>
      <w:r w:rsidR="003663CC">
        <w:rPr>
          <w:lang w:val="de-DE"/>
        </w:rPr>
        <w:t xml:space="preserve">bedingt durch </w:t>
      </w:r>
      <w:r w:rsidR="00B56D24">
        <w:rPr>
          <w:lang w:val="de-DE"/>
        </w:rPr>
        <w:t xml:space="preserve">den Verkaufserfolg bei den Rollendigitaldruckmaschinen </w:t>
      </w:r>
      <w:r w:rsidR="00D86904">
        <w:rPr>
          <w:lang w:val="de-DE"/>
        </w:rPr>
        <w:t xml:space="preserve">– </w:t>
      </w:r>
      <w:r w:rsidR="00682F93">
        <w:rPr>
          <w:lang w:val="de-DE"/>
        </w:rPr>
        <w:t>wieder schwungvoll</w:t>
      </w:r>
      <w:r w:rsidR="003663CC">
        <w:rPr>
          <w:lang w:val="de-DE"/>
        </w:rPr>
        <w:t xml:space="preserve">er. Der Umsatz stieg im Vorjahresvergleich </w:t>
      </w:r>
      <w:r w:rsidR="00AA1358">
        <w:rPr>
          <w:lang w:val="de-DE"/>
        </w:rPr>
        <w:t xml:space="preserve">nach neun Monaten </w:t>
      </w:r>
      <w:r w:rsidR="003663CC">
        <w:rPr>
          <w:lang w:val="de-DE"/>
        </w:rPr>
        <w:t>um 10,9</w:t>
      </w:r>
      <w:r w:rsidR="007703FF">
        <w:rPr>
          <w:b/>
          <w:lang w:val="de-DE"/>
        </w:rPr>
        <w:t> </w:t>
      </w:r>
      <w:r w:rsidR="003663CC">
        <w:rPr>
          <w:lang w:val="de-DE"/>
        </w:rPr>
        <w:t xml:space="preserve">% auf </w:t>
      </w:r>
      <w:r w:rsidR="00CC3DF2">
        <w:rPr>
          <w:lang w:val="de-DE"/>
        </w:rPr>
        <w:t>113,4</w:t>
      </w:r>
      <w:r w:rsidR="007703FF">
        <w:rPr>
          <w:b/>
          <w:lang w:val="de-DE"/>
        </w:rPr>
        <w:t> </w:t>
      </w:r>
      <w:r w:rsidR="00CC3DF2">
        <w:rPr>
          <w:lang w:val="de-DE"/>
        </w:rPr>
        <w:t>Mio.</w:t>
      </w:r>
      <w:r w:rsidR="007703FF">
        <w:rPr>
          <w:b/>
          <w:lang w:val="de-DE"/>
        </w:rPr>
        <w:t> </w:t>
      </w:r>
      <w:r w:rsidR="00CC3DF2">
        <w:rPr>
          <w:lang w:val="de-DE"/>
        </w:rPr>
        <w:t>€</w:t>
      </w:r>
      <w:r w:rsidR="00AA1358">
        <w:rPr>
          <w:lang w:val="de-DE"/>
        </w:rPr>
        <w:t xml:space="preserve">. </w:t>
      </w:r>
      <w:r w:rsidR="00AA1358" w:rsidRPr="00AA1358">
        <w:rPr>
          <w:lang w:val="de-DE"/>
        </w:rPr>
        <w:t>Das EBIT lag bei -37,2 Mio. € (Vj.: -19,9 Mio. €) und enthält anteilig den nicht operativen Sondereffekt, davon 0,4 Mio. € für die Leitmesse drupa sowie 12,</w:t>
      </w:r>
      <w:r w:rsidR="00FE6F2E">
        <w:rPr>
          <w:lang w:val="de-DE"/>
        </w:rPr>
        <w:t>4</w:t>
      </w:r>
      <w:r w:rsidR="00FE6F2E" w:rsidRPr="00AA1358">
        <w:rPr>
          <w:lang w:val="de-DE"/>
        </w:rPr>
        <w:t xml:space="preserve"> </w:t>
      </w:r>
      <w:r w:rsidR="00AA1358" w:rsidRPr="00AA1358">
        <w:rPr>
          <w:lang w:val="de-DE"/>
        </w:rPr>
        <w:t xml:space="preserve">Mio. € für das Fokusprogramm "Spotlight". Die EBIT-Marge lag entsprechend </w:t>
      </w:r>
      <w:r w:rsidR="00D11303">
        <w:rPr>
          <w:lang w:val="de-DE"/>
        </w:rPr>
        <w:t>bei -32,8 %.</w:t>
      </w:r>
      <w:r w:rsidR="00AA1358" w:rsidRPr="00AA1358">
        <w:rPr>
          <w:lang w:val="de-DE"/>
        </w:rPr>
        <w:t xml:space="preserve"> Das operative EBIT lag nach neun Monaten bei -24,4 Mio. €.</w:t>
      </w:r>
      <w:r w:rsidR="00AA1358">
        <w:rPr>
          <w:lang w:val="de-DE"/>
        </w:rPr>
        <w:t xml:space="preserve"> </w:t>
      </w:r>
    </w:p>
    <w:p w14:paraId="41549EB4" w14:textId="68AACB25" w:rsidR="009905C9" w:rsidRDefault="00B32B8D" w:rsidP="009905C9">
      <w:pPr>
        <w:rPr>
          <w:lang w:val="de-DE"/>
        </w:rPr>
      </w:pPr>
      <w:r>
        <w:rPr>
          <w:lang w:val="de-DE"/>
        </w:rPr>
        <w:t xml:space="preserve">Im </w:t>
      </w:r>
      <w:r w:rsidRPr="00D43E93">
        <w:rPr>
          <w:b/>
          <w:bCs/>
          <w:lang w:val="de-DE"/>
        </w:rPr>
        <w:t>Segment Special</w:t>
      </w:r>
      <w:r>
        <w:rPr>
          <w:lang w:val="de-DE"/>
        </w:rPr>
        <w:t xml:space="preserve"> übertra</w:t>
      </w:r>
      <w:r w:rsidR="00F21B56">
        <w:rPr>
          <w:lang w:val="de-DE"/>
        </w:rPr>
        <w:t>f</w:t>
      </w:r>
      <w:r>
        <w:rPr>
          <w:lang w:val="de-DE"/>
        </w:rPr>
        <w:t xml:space="preserve"> der Auftragseingang in den ersten neun Monaten 2024 </w:t>
      </w:r>
      <w:r w:rsidR="00FF388D">
        <w:rPr>
          <w:lang w:val="de-DE"/>
        </w:rPr>
        <w:t>mit 390,7</w:t>
      </w:r>
      <w:r w:rsidR="002944AC">
        <w:rPr>
          <w:lang w:val="de-DE"/>
        </w:rPr>
        <w:t> </w:t>
      </w:r>
      <w:r w:rsidR="00FF388D">
        <w:rPr>
          <w:lang w:val="de-DE"/>
        </w:rPr>
        <w:t>Mio.</w:t>
      </w:r>
      <w:r w:rsidR="002944AC">
        <w:rPr>
          <w:lang w:val="de-DE"/>
        </w:rPr>
        <w:t> </w:t>
      </w:r>
      <w:r w:rsidR="00FF388D">
        <w:rPr>
          <w:lang w:val="de-DE"/>
        </w:rPr>
        <w:t>€ den Vorjahreswert</w:t>
      </w:r>
      <w:r w:rsidR="001D54A7">
        <w:rPr>
          <w:lang w:val="de-DE"/>
        </w:rPr>
        <w:t xml:space="preserve"> von 270,7</w:t>
      </w:r>
      <w:r w:rsidR="002944AC">
        <w:rPr>
          <w:lang w:val="de-DE"/>
        </w:rPr>
        <w:t> </w:t>
      </w:r>
      <w:r w:rsidR="001D54A7">
        <w:rPr>
          <w:lang w:val="de-DE"/>
        </w:rPr>
        <w:t>Mio.</w:t>
      </w:r>
      <w:r w:rsidR="002944AC">
        <w:rPr>
          <w:lang w:val="de-DE"/>
        </w:rPr>
        <w:t> </w:t>
      </w:r>
      <w:r w:rsidR="001D54A7">
        <w:rPr>
          <w:lang w:val="de-DE"/>
        </w:rPr>
        <w:t xml:space="preserve">€ deutlich. </w:t>
      </w:r>
      <w:r w:rsidR="001D2111" w:rsidRPr="001D2111">
        <w:rPr>
          <w:lang w:val="de-DE"/>
        </w:rPr>
        <w:t>Die Geschäftseinheit Banknote S</w:t>
      </w:r>
      <w:r w:rsidR="001D2111">
        <w:rPr>
          <w:lang w:val="de-DE"/>
        </w:rPr>
        <w:t xml:space="preserve">olutions hat in Q3 erneut einen </w:t>
      </w:r>
      <w:r w:rsidR="001D2111" w:rsidRPr="001D2111">
        <w:rPr>
          <w:lang w:val="de-DE"/>
        </w:rPr>
        <w:t xml:space="preserve">Tender </w:t>
      </w:r>
      <w:r w:rsidR="00276A38">
        <w:rPr>
          <w:lang w:val="de-DE"/>
        </w:rPr>
        <w:t xml:space="preserve">des </w:t>
      </w:r>
      <w:r w:rsidR="001D2111">
        <w:rPr>
          <w:lang w:val="de-DE"/>
        </w:rPr>
        <w:t>BEP</w:t>
      </w:r>
      <w:r w:rsidR="001D2111" w:rsidRPr="001D2111">
        <w:rPr>
          <w:lang w:val="de-DE"/>
        </w:rPr>
        <w:t xml:space="preserve"> positi</w:t>
      </w:r>
      <w:r w:rsidR="001D2111">
        <w:rPr>
          <w:lang w:val="de-DE"/>
        </w:rPr>
        <w:t xml:space="preserve">v beschieden bekommen und somit </w:t>
      </w:r>
      <w:r w:rsidR="001D2111" w:rsidRPr="001D2111">
        <w:rPr>
          <w:lang w:val="de-DE"/>
        </w:rPr>
        <w:t>die Erteilung des Auftrags</w:t>
      </w:r>
      <w:r w:rsidR="001D2111">
        <w:rPr>
          <w:lang w:val="de-DE"/>
        </w:rPr>
        <w:t xml:space="preserve"> für weitere Banknotenmaschinen </w:t>
      </w:r>
      <w:r w:rsidR="001D2111" w:rsidRPr="001D2111">
        <w:rPr>
          <w:lang w:val="de-DE"/>
        </w:rPr>
        <w:t>erhalten.</w:t>
      </w:r>
      <w:r w:rsidR="001D2111">
        <w:rPr>
          <w:lang w:val="de-DE"/>
        </w:rPr>
        <w:t xml:space="preserve"> </w:t>
      </w:r>
      <w:r w:rsidR="000036C9">
        <w:rPr>
          <w:lang w:val="de-DE"/>
        </w:rPr>
        <w:t>Der Umsatz verringerte sich in den ersten neun Monate</w:t>
      </w:r>
      <w:r w:rsidR="00B81389">
        <w:rPr>
          <w:lang w:val="de-DE"/>
        </w:rPr>
        <w:t>n</w:t>
      </w:r>
      <w:r w:rsidR="000036C9">
        <w:rPr>
          <w:lang w:val="de-DE"/>
        </w:rPr>
        <w:t xml:space="preserve"> 2024 um 7,9</w:t>
      </w:r>
      <w:r w:rsidR="002944AC">
        <w:rPr>
          <w:lang w:val="de-DE"/>
        </w:rPr>
        <w:t> </w:t>
      </w:r>
      <w:r w:rsidR="000036C9">
        <w:rPr>
          <w:lang w:val="de-DE"/>
        </w:rPr>
        <w:t>% auf 259,1</w:t>
      </w:r>
      <w:r w:rsidR="002944AC">
        <w:rPr>
          <w:lang w:val="de-DE"/>
        </w:rPr>
        <w:t> </w:t>
      </w:r>
      <w:r w:rsidR="000036C9">
        <w:rPr>
          <w:lang w:val="de-DE"/>
        </w:rPr>
        <w:t>Mio.</w:t>
      </w:r>
      <w:r w:rsidR="002944AC">
        <w:rPr>
          <w:lang w:val="de-DE"/>
        </w:rPr>
        <w:t> </w:t>
      </w:r>
      <w:r w:rsidR="000036C9">
        <w:rPr>
          <w:lang w:val="de-DE"/>
        </w:rPr>
        <w:t>€</w:t>
      </w:r>
      <w:r w:rsidR="00935D6F">
        <w:rPr>
          <w:lang w:val="de-DE"/>
        </w:rPr>
        <w:t>.</w:t>
      </w:r>
      <w:r w:rsidR="00935D6F" w:rsidRPr="00935D6F">
        <w:rPr>
          <w:lang w:val="de-DE"/>
        </w:rPr>
        <w:t xml:space="preserve"> </w:t>
      </w:r>
      <w:r w:rsidR="009905C9" w:rsidRPr="009905C9">
        <w:rPr>
          <w:lang w:val="de-DE"/>
        </w:rPr>
        <w:t xml:space="preserve">Ursächlich hierfür war hauptsächlich ein produktionsbedingter geringerer </w:t>
      </w:r>
      <w:proofErr w:type="spellStart"/>
      <w:r w:rsidR="009905C9" w:rsidRPr="009905C9">
        <w:rPr>
          <w:lang w:val="de-DE"/>
        </w:rPr>
        <w:t>Percentage-of-Completion</w:t>
      </w:r>
      <w:proofErr w:type="spellEnd"/>
      <w:r w:rsidR="009905C9" w:rsidRPr="009905C9">
        <w:rPr>
          <w:lang w:val="de-DE"/>
        </w:rPr>
        <w:t>-(POC)-Leistungsfortschritt als im Vorjahr für Kundenaufträge in der Geschäftseinheit Banknote Solutions. Daher lag das EBIT bei -20,2 Mio. € (Vj.: 4,3 Mio. €) und enthält anteilig den nicht operativen Sondereffekt, davon 0,1 Mio. € für die Leitmesse drupa sowie 6,8 Mio. € für das Fokusprogramm "Spotlight". Entsprechen</w:t>
      </w:r>
      <w:r w:rsidR="009905C9">
        <w:rPr>
          <w:lang w:val="de-DE"/>
        </w:rPr>
        <w:t>d lag die EBIT-Marge bei -7,</w:t>
      </w:r>
      <w:r w:rsidR="00FE6F2E">
        <w:rPr>
          <w:lang w:val="de-DE"/>
        </w:rPr>
        <w:t xml:space="preserve">8 </w:t>
      </w:r>
      <w:r w:rsidR="009905C9">
        <w:rPr>
          <w:lang w:val="de-DE"/>
        </w:rPr>
        <w:t>%</w:t>
      </w:r>
      <w:r w:rsidR="009905C9" w:rsidRPr="009905C9">
        <w:rPr>
          <w:lang w:val="de-DE"/>
        </w:rPr>
        <w:t>. Das operative EBIT lag nach neun Mona</w:t>
      </w:r>
      <w:r w:rsidR="009905C9">
        <w:rPr>
          <w:lang w:val="de-DE"/>
        </w:rPr>
        <w:t>ten bei -13,3 Mio. €. D</w:t>
      </w:r>
      <w:r w:rsidR="009905C9" w:rsidRPr="009905C9">
        <w:rPr>
          <w:lang w:val="de-DE"/>
        </w:rPr>
        <w:t xml:space="preserve">er Auftragsbestand </w:t>
      </w:r>
      <w:r w:rsidR="009905C9">
        <w:rPr>
          <w:lang w:val="de-DE"/>
        </w:rPr>
        <w:t xml:space="preserve">lag </w:t>
      </w:r>
      <w:r w:rsidR="009905C9" w:rsidRPr="009905C9">
        <w:rPr>
          <w:lang w:val="de-DE"/>
        </w:rPr>
        <w:t xml:space="preserve">zum 30. September 2024 </w:t>
      </w:r>
      <w:r w:rsidR="009905C9">
        <w:rPr>
          <w:lang w:val="de-DE"/>
        </w:rPr>
        <w:t xml:space="preserve">bei </w:t>
      </w:r>
      <w:r w:rsidR="009905C9" w:rsidRPr="009905C9">
        <w:rPr>
          <w:lang w:val="de-DE"/>
        </w:rPr>
        <w:t>510,1 Mio. € (Vj.: 242,9 Mio. €). Das Segment wird im Schlussquartal und auch im nächsten Geschäftsjahr von dem hohen Auftragsbestand profitieren, was zu der geplanten Ergebnissteigerung führen soll.</w:t>
      </w:r>
      <w:r w:rsidR="009905C9" w:rsidRPr="009905C9" w:rsidDel="009905C9">
        <w:rPr>
          <w:lang w:val="de-DE"/>
        </w:rPr>
        <w:t xml:space="preserve"> </w:t>
      </w:r>
    </w:p>
    <w:p w14:paraId="77AFE723" w14:textId="77777777" w:rsidR="009905C9" w:rsidRDefault="009905C9" w:rsidP="009905C9">
      <w:pPr>
        <w:rPr>
          <w:lang w:val="de-DE"/>
        </w:rPr>
      </w:pPr>
    </w:p>
    <w:p w14:paraId="6D4DAC4C" w14:textId="7B404A57" w:rsidR="0074545F" w:rsidRPr="0074545F" w:rsidRDefault="00FE6F2E" w:rsidP="00D01F5C">
      <w:pPr>
        <w:pStyle w:val="berschrift3"/>
        <w:rPr>
          <w:lang w:val="de-DE"/>
        </w:rPr>
      </w:pPr>
      <w:r>
        <w:rPr>
          <w:lang w:val="de-DE"/>
        </w:rPr>
        <w:t>“</w:t>
      </w:r>
      <w:r w:rsidR="00A14BDC">
        <w:rPr>
          <w:lang w:val="de-DE"/>
        </w:rPr>
        <w:t xml:space="preserve">Spotlight“ unterstützt </w:t>
      </w:r>
      <w:r w:rsidR="00E70899">
        <w:rPr>
          <w:lang w:val="de-DE"/>
        </w:rPr>
        <w:t>die Erreichung des Rentabilitätsziels 2026</w:t>
      </w:r>
    </w:p>
    <w:p w14:paraId="0173CD9E" w14:textId="692A40E1" w:rsidR="00A14BDC" w:rsidRDefault="00541708" w:rsidP="00285DEE">
      <w:pPr>
        <w:rPr>
          <w:lang w:val="de-DE"/>
        </w:rPr>
      </w:pPr>
      <w:r>
        <w:rPr>
          <w:lang w:val="de-DE"/>
        </w:rPr>
        <w:t xml:space="preserve">Mit dem Fokusprogramm </w:t>
      </w:r>
      <w:r w:rsidR="00FE6F2E">
        <w:rPr>
          <w:lang w:val="de-DE"/>
        </w:rPr>
        <w:t>“</w:t>
      </w:r>
      <w:r>
        <w:rPr>
          <w:lang w:val="de-DE"/>
        </w:rPr>
        <w:t xml:space="preserve">Spotlight“ hat Koenig &amp; Bauer umfassende Maßnahmen </w:t>
      </w:r>
      <w:r w:rsidR="00D65EF5">
        <w:rPr>
          <w:lang w:val="de-DE"/>
        </w:rPr>
        <w:t>entwickelt, die nachhaltige Ertragssteigerung</w:t>
      </w:r>
      <w:r w:rsidR="007522F7">
        <w:rPr>
          <w:lang w:val="de-DE"/>
        </w:rPr>
        <w:t>en</w:t>
      </w:r>
      <w:r w:rsidR="00D65EF5">
        <w:rPr>
          <w:lang w:val="de-DE"/>
        </w:rPr>
        <w:t xml:space="preserve"> in profitablen und Umstrukturierung</w:t>
      </w:r>
      <w:r w:rsidR="007522F7">
        <w:rPr>
          <w:lang w:val="de-DE"/>
        </w:rPr>
        <w:t>en</w:t>
      </w:r>
      <w:r w:rsidR="00D65EF5">
        <w:rPr>
          <w:lang w:val="de-DE"/>
        </w:rPr>
        <w:t xml:space="preserve"> in nicht profitablen Bereichen</w:t>
      </w:r>
      <w:r w:rsidR="007522F7">
        <w:rPr>
          <w:lang w:val="de-DE"/>
        </w:rPr>
        <w:t xml:space="preserve"> als Zielsetzung haben. </w:t>
      </w:r>
      <w:r w:rsidR="00773746">
        <w:rPr>
          <w:lang w:val="de-DE"/>
        </w:rPr>
        <w:t xml:space="preserve">Finanzvorstand Dr. Stephen Kimmich kommentiert: „Wir sind in den zurückliegenden Monaten mit der Umsetzung der einzelnen Maßnahmen gut vorangekommen. Auch wenn die Maßnahmen </w:t>
      </w:r>
      <w:r w:rsidR="00C50333">
        <w:rPr>
          <w:lang w:val="de-DE"/>
        </w:rPr>
        <w:t xml:space="preserve">von allen Beteiligten große Anstrengungen erfordern und auch zu Belastungen führen, sind wir davon überzeugt, dass </w:t>
      </w:r>
      <w:r w:rsidR="00FE6F2E">
        <w:rPr>
          <w:lang w:val="de-DE"/>
        </w:rPr>
        <w:t>“</w:t>
      </w:r>
      <w:r w:rsidR="00C50333">
        <w:rPr>
          <w:lang w:val="de-DE"/>
        </w:rPr>
        <w:t>Spotlight</w:t>
      </w:r>
      <w:r w:rsidR="00FE6F2E">
        <w:rPr>
          <w:lang w:val="de-DE"/>
        </w:rPr>
        <w:t>“</w:t>
      </w:r>
      <w:r w:rsidR="00C50333">
        <w:rPr>
          <w:lang w:val="de-DE"/>
        </w:rPr>
        <w:t xml:space="preserve"> unsere Wettbewerbsfähigkeit stärkt und</w:t>
      </w:r>
      <w:r w:rsidR="00E25065">
        <w:rPr>
          <w:lang w:val="de-DE"/>
        </w:rPr>
        <w:t xml:space="preserve"> wir unsere</w:t>
      </w:r>
      <w:r w:rsidR="00207387">
        <w:rPr>
          <w:lang w:val="de-DE"/>
        </w:rPr>
        <w:t>n</w:t>
      </w:r>
      <w:r w:rsidR="00E25065">
        <w:rPr>
          <w:lang w:val="de-DE"/>
        </w:rPr>
        <w:t xml:space="preserve"> Rentabilitätszielen damit ein gutes Stück näherkommen.“</w:t>
      </w:r>
      <w:r w:rsidR="00285DEE">
        <w:rPr>
          <w:lang w:val="de-DE"/>
        </w:rPr>
        <w:t xml:space="preserve"> Die Umsetzung von </w:t>
      </w:r>
      <w:r w:rsidR="00FE6F2E">
        <w:rPr>
          <w:lang w:val="de-DE"/>
        </w:rPr>
        <w:t>“</w:t>
      </w:r>
      <w:r w:rsidR="00285DEE">
        <w:rPr>
          <w:lang w:val="de-DE"/>
        </w:rPr>
        <w:t xml:space="preserve">Spotlight“ ist </w:t>
      </w:r>
      <w:r w:rsidR="001F39C9">
        <w:rPr>
          <w:lang w:val="de-DE"/>
        </w:rPr>
        <w:t xml:space="preserve">insgesamt </w:t>
      </w:r>
      <w:r w:rsidR="00285DEE">
        <w:rPr>
          <w:lang w:val="de-DE"/>
        </w:rPr>
        <w:t>mit nicht</w:t>
      </w:r>
      <w:r w:rsidR="009F3E35">
        <w:rPr>
          <w:lang w:val="de-DE"/>
        </w:rPr>
        <w:t xml:space="preserve"> </w:t>
      </w:r>
      <w:r w:rsidR="00285DEE">
        <w:rPr>
          <w:lang w:val="de-DE"/>
        </w:rPr>
        <w:t xml:space="preserve">operativen Sondereffekten von </w:t>
      </w:r>
      <w:r w:rsidR="003B55F6" w:rsidRPr="003B55F6">
        <w:rPr>
          <w:lang w:val="de-DE"/>
        </w:rPr>
        <w:t>30 bis 45</w:t>
      </w:r>
      <w:r w:rsidR="002944AC">
        <w:rPr>
          <w:lang w:val="de-DE"/>
        </w:rPr>
        <w:t> </w:t>
      </w:r>
      <w:r w:rsidR="003B55F6" w:rsidRPr="003B55F6">
        <w:rPr>
          <w:lang w:val="de-DE"/>
        </w:rPr>
        <w:t>Mio.</w:t>
      </w:r>
      <w:r w:rsidR="002944AC">
        <w:rPr>
          <w:lang w:val="de-DE"/>
        </w:rPr>
        <w:t> </w:t>
      </w:r>
      <w:r w:rsidR="003B55F6" w:rsidRPr="003B55F6">
        <w:rPr>
          <w:lang w:val="de-DE"/>
        </w:rPr>
        <w:t xml:space="preserve">€ </w:t>
      </w:r>
      <w:r w:rsidR="00285DEE">
        <w:rPr>
          <w:lang w:val="de-DE"/>
        </w:rPr>
        <w:t xml:space="preserve">verbunden. </w:t>
      </w:r>
      <w:r w:rsidR="00502334">
        <w:rPr>
          <w:lang w:val="de-DE"/>
        </w:rPr>
        <w:t>Zum 30. September 2024 sind bereits 24,4 Mio. € aufwandswirksam in das Konzernergebnis eingeflossen und betreffen hauptsächlich Sach- und Personalkostenanpassungen.</w:t>
      </w:r>
      <w:r w:rsidR="009563EB">
        <w:rPr>
          <w:lang w:val="de-DE"/>
        </w:rPr>
        <w:t xml:space="preserve"> </w:t>
      </w:r>
      <w:r w:rsidR="006F0418" w:rsidRPr="006F0418">
        <w:rPr>
          <w:lang w:val="de-DE"/>
        </w:rPr>
        <w:t xml:space="preserve">Bis zum Jahresende wird voraussichtlich das obere Ende des Korridors erreicht sein. </w:t>
      </w:r>
      <w:r w:rsidR="00DF36D4" w:rsidRPr="00DF36D4">
        <w:rPr>
          <w:lang w:val="de-DE"/>
        </w:rPr>
        <w:t xml:space="preserve">Für </w:t>
      </w:r>
      <w:r w:rsidR="00FE6F2E">
        <w:rPr>
          <w:lang w:val="de-DE"/>
        </w:rPr>
        <w:t>das Geschäftsjahr 2024 ist aus “</w:t>
      </w:r>
      <w:r w:rsidR="00DF36D4" w:rsidRPr="00DF36D4">
        <w:rPr>
          <w:lang w:val="de-DE"/>
        </w:rPr>
        <w:t>Spotlight“ ein positiver EBIT-Effe</w:t>
      </w:r>
      <w:r w:rsidR="009A5449">
        <w:rPr>
          <w:lang w:val="de-DE"/>
        </w:rPr>
        <w:t>kt von 15</w:t>
      </w:r>
      <w:r w:rsidR="00DF36D4">
        <w:rPr>
          <w:lang w:val="de-DE"/>
        </w:rPr>
        <w:t xml:space="preserve"> bis </w:t>
      </w:r>
      <w:r w:rsidR="009A5449">
        <w:rPr>
          <w:lang w:val="de-DE"/>
        </w:rPr>
        <w:t>20</w:t>
      </w:r>
      <w:r w:rsidR="00DF36D4">
        <w:rPr>
          <w:lang w:val="de-DE"/>
        </w:rPr>
        <w:t xml:space="preserve"> Mio. € geplant (</w:t>
      </w:r>
      <w:r w:rsidR="00DF36D4" w:rsidRPr="00DF36D4">
        <w:rPr>
          <w:lang w:val="de-DE"/>
        </w:rPr>
        <w:t>2025</w:t>
      </w:r>
      <w:r w:rsidR="00DF36D4">
        <w:rPr>
          <w:lang w:val="de-DE"/>
        </w:rPr>
        <w:t>:</w:t>
      </w:r>
      <w:r w:rsidR="00DF36D4" w:rsidRPr="00DF36D4">
        <w:rPr>
          <w:lang w:val="de-DE"/>
        </w:rPr>
        <w:t xml:space="preserve"> </w:t>
      </w:r>
      <w:r w:rsidR="00DF36D4">
        <w:rPr>
          <w:lang w:val="de-DE"/>
        </w:rPr>
        <w:t xml:space="preserve">40 bis 50 Mio. €; 2026: </w:t>
      </w:r>
      <w:r w:rsidR="00DF36D4" w:rsidRPr="00DF36D4">
        <w:rPr>
          <w:lang w:val="de-DE"/>
        </w:rPr>
        <w:t>60 bis 70 Mio. €.</w:t>
      </w:r>
      <w:r w:rsidR="00DF36D4">
        <w:rPr>
          <w:lang w:val="de-DE"/>
        </w:rPr>
        <w:t>)</w:t>
      </w:r>
      <w:r w:rsidR="00DF36D4" w:rsidRPr="00DF36D4" w:rsidDel="00DF36D4">
        <w:rPr>
          <w:lang w:val="de-DE"/>
        </w:rPr>
        <w:t xml:space="preserve"> </w:t>
      </w:r>
      <w:r w:rsidR="00FE6F2E">
        <w:rPr>
          <w:lang w:val="de-DE"/>
        </w:rPr>
        <w:t>“</w:t>
      </w:r>
      <w:r w:rsidR="009563EB">
        <w:rPr>
          <w:lang w:val="de-DE"/>
        </w:rPr>
        <w:t>Spotlight“ trägt wesentlich dazu bei</w:t>
      </w:r>
      <w:r w:rsidR="00A14BDC">
        <w:rPr>
          <w:lang w:val="de-DE"/>
        </w:rPr>
        <w:t>, sp</w:t>
      </w:r>
      <w:r w:rsidR="003B55F6" w:rsidRPr="003B55F6">
        <w:rPr>
          <w:lang w:val="de-DE"/>
        </w:rPr>
        <w:t>ätestens im Geschäftsjahr 2026</w:t>
      </w:r>
      <w:r w:rsidR="00A14BDC">
        <w:rPr>
          <w:lang w:val="de-DE"/>
        </w:rPr>
        <w:t xml:space="preserve"> ein EBIT-Ziel von rund 6</w:t>
      </w:r>
      <w:r w:rsidR="00050350">
        <w:rPr>
          <w:lang w:val="de-DE"/>
        </w:rPr>
        <w:t> </w:t>
      </w:r>
      <w:r w:rsidR="00A14BDC">
        <w:rPr>
          <w:lang w:val="de-DE"/>
        </w:rPr>
        <w:t>% bei einem Konzernumsatz von ca. 1,5</w:t>
      </w:r>
      <w:r w:rsidR="00050350">
        <w:rPr>
          <w:lang w:val="de-DE"/>
        </w:rPr>
        <w:t> </w:t>
      </w:r>
      <w:r w:rsidR="00A14BDC">
        <w:rPr>
          <w:lang w:val="de-DE"/>
        </w:rPr>
        <w:t>Mrd.</w:t>
      </w:r>
      <w:r w:rsidR="00050350">
        <w:rPr>
          <w:lang w:val="de-DE"/>
        </w:rPr>
        <w:t> </w:t>
      </w:r>
      <w:r w:rsidR="00A14BDC">
        <w:rPr>
          <w:lang w:val="de-DE"/>
        </w:rPr>
        <w:t>€ zu erreichen.</w:t>
      </w:r>
      <w:r w:rsidR="006F0418">
        <w:rPr>
          <w:lang w:val="de-DE"/>
        </w:rPr>
        <w:t xml:space="preserve"> </w:t>
      </w:r>
    </w:p>
    <w:p w14:paraId="7393D06A" w14:textId="53C204F0" w:rsidR="00A14BDC" w:rsidRPr="0074545F" w:rsidRDefault="00A14BDC" w:rsidP="00A14BDC">
      <w:pPr>
        <w:pStyle w:val="berschrift3"/>
        <w:rPr>
          <w:lang w:val="de-DE"/>
        </w:rPr>
      </w:pPr>
      <w:r w:rsidRPr="003B55F6">
        <w:rPr>
          <w:lang w:val="de-DE"/>
        </w:rPr>
        <w:t>Ausblick für 2024</w:t>
      </w:r>
      <w:r w:rsidRPr="0074545F">
        <w:rPr>
          <w:lang w:val="de-DE"/>
        </w:rPr>
        <w:t xml:space="preserve"> bestätigt</w:t>
      </w:r>
      <w:r w:rsidRPr="007642D9">
        <w:rPr>
          <w:lang w:val="de-DE"/>
        </w:rPr>
        <w:t xml:space="preserve"> </w:t>
      </w:r>
    </w:p>
    <w:p w14:paraId="0C522101" w14:textId="77777777" w:rsidR="002D7390" w:rsidRDefault="009905C9">
      <w:pPr>
        <w:rPr>
          <w:lang w:val="de-DE"/>
        </w:rPr>
      </w:pPr>
      <w:r w:rsidRPr="009905C9">
        <w:rPr>
          <w:lang w:val="de-DE"/>
        </w:rPr>
        <w:t>Die Koenig &amp; Bauer AG bestätigt das operative Ergebnis für 2024 am unteren Ende des prognostizierten Korridors von 25 bis 40 Mio. € und das prognostizierte Umsatzziel von rund 1,3 Mrd. € trotz der anhaltend schwierigen Marktlage.</w:t>
      </w:r>
      <w:r w:rsidR="002D7390">
        <w:rPr>
          <w:lang w:val="de-DE"/>
        </w:rPr>
        <w:t xml:space="preserve"> </w:t>
      </w:r>
    </w:p>
    <w:p w14:paraId="01CE530B" w14:textId="09F4F9D5" w:rsidR="00A907B4" w:rsidRPr="003B55F6" w:rsidRDefault="00DD5D37">
      <w:pPr>
        <w:shd w:val="clear" w:color="auto" w:fill="FFFFFF"/>
        <w:spacing w:after="500"/>
        <w:rPr>
          <w:color w:val="F02D32"/>
          <w:lang w:val="de-DE"/>
        </w:rPr>
      </w:pPr>
      <w:r w:rsidRPr="00DD5D37">
        <w:rPr>
          <w:lang w:val="de-DE"/>
        </w:rPr>
        <w:t>Die getroffenen Prognoseeinschätzungen s</w:t>
      </w:r>
      <w:r>
        <w:rPr>
          <w:lang w:val="de-DE"/>
        </w:rPr>
        <w:t xml:space="preserve">ind von äußeren Einflüssen, wie </w:t>
      </w:r>
      <w:r w:rsidRPr="00DD5D37">
        <w:rPr>
          <w:lang w:val="de-DE"/>
        </w:rPr>
        <w:t>beispielsweise keine weiteren Rückschläge od</w:t>
      </w:r>
      <w:r>
        <w:rPr>
          <w:lang w:val="de-DE"/>
        </w:rPr>
        <w:t xml:space="preserve">er verschärften Einschränkungen </w:t>
      </w:r>
      <w:r w:rsidRPr="00DD5D37">
        <w:rPr>
          <w:lang w:val="de-DE"/>
        </w:rPr>
        <w:t xml:space="preserve">gegenüber dem heutigen Stand des </w:t>
      </w:r>
      <w:r>
        <w:rPr>
          <w:lang w:val="de-DE"/>
        </w:rPr>
        <w:t xml:space="preserve">Kriegsgeschehens in der Ukraine </w:t>
      </w:r>
      <w:r w:rsidRPr="00DD5D37">
        <w:rPr>
          <w:lang w:val="de-DE"/>
        </w:rPr>
        <w:t xml:space="preserve">sowie im Nahostkonflikt, oder </w:t>
      </w:r>
      <w:r w:rsidRPr="00921F67">
        <w:rPr>
          <w:lang w:val="de-DE"/>
        </w:rPr>
        <w:t xml:space="preserve">einem </w:t>
      </w:r>
      <w:r w:rsidR="006C5FAE" w:rsidRPr="00921F67">
        <w:rPr>
          <w:lang w:val="de-DE"/>
        </w:rPr>
        <w:t xml:space="preserve">unerwarteten Wiederanstieg </w:t>
      </w:r>
      <w:r w:rsidR="00D4262D" w:rsidRPr="00921F67">
        <w:rPr>
          <w:lang w:val="de-DE"/>
        </w:rPr>
        <w:t>von</w:t>
      </w:r>
      <w:r w:rsidR="006C5FAE" w:rsidRPr="00921F67">
        <w:rPr>
          <w:lang w:val="de-DE"/>
        </w:rPr>
        <w:t xml:space="preserve"> Inflation</w:t>
      </w:r>
      <w:r w:rsidR="006C5FAE" w:rsidRPr="00AF713A">
        <w:rPr>
          <w:lang w:val="de-DE"/>
        </w:rPr>
        <w:t xml:space="preserve"> </w:t>
      </w:r>
      <w:r w:rsidRPr="00DD5D37">
        <w:rPr>
          <w:lang w:val="de-DE"/>
        </w:rPr>
        <w:t xml:space="preserve">und von der internen Geschäftsentwicklung </w:t>
      </w:r>
      <w:r w:rsidR="006C5FAE">
        <w:rPr>
          <w:lang w:val="de-DE"/>
        </w:rPr>
        <w:t xml:space="preserve">abhängig. Der Vorstand hat sich </w:t>
      </w:r>
      <w:r w:rsidRPr="00DD5D37">
        <w:rPr>
          <w:lang w:val="de-DE"/>
        </w:rPr>
        <w:t>eingehend damit befasst und rechnet aufgrund der Normalis</w:t>
      </w:r>
      <w:r w:rsidR="006C5FAE">
        <w:rPr>
          <w:lang w:val="de-DE"/>
        </w:rPr>
        <w:t xml:space="preserve">ierung der Geschäftsentwicklung </w:t>
      </w:r>
      <w:r w:rsidRPr="00DD5D37">
        <w:rPr>
          <w:lang w:val="de-DE"/>
        </w:rPr>
        <w:t>im dritten Quartal mit ein</w:t>
      </w:r>
      <w:r w:rsidR="006C5FAE">
        <w:rPr>
          <w:lang w:val="de-DE"/>
        </w:rPr>
        <w:t xml:space="preserve">em starken Schlussquartal. Dies </w:t>
      </w:r>
      <w:r w:rsidRPr="00DD5D37">
        <w:rPr>
          <w:lang w:val="de-DE"/>
        </w:rPr>
        <w:t>wird gestärkt durch den historisch starken Auft</w:t>
      </w:r>
      <w:r w:rsidR="006C5FAE">
        <w:rPr>
          <w:lang w:val="de-DE"/>
        </w:rPr>
        <w:t xml:space="preserve">ragsbestand und voraussichtlich </w:t>
      </w:r>
      <w:r w:rsidRPr="00DD5D37">
        <w:rPr>
          <w:lang w:val="de-DE"/>
        </w:rPr>
        <w:t>durch einen – über einer durchschnittliche</w:t>
      </w:r>
      <w:r w:rsidR="006C5FAE">
        <w:rPr>
          <w:lang w:val="de-DE"/>
        </w:rPr>
        <w:t xml:space="preserve">n Quartalsperformance liegenden </w:t>
      </w:r>
      <w:r w:rsidRPr="00DD5D37">
        <w:rPr>
          <w:lang w:val="de-DE"/>
        </w:rPr>
        <w:t>– operativen Ergebnisbeitrags aus dem Segment</w:t>
      </w:r>
      <w:r w:rsidR="006C5FAE">
        <w:rPr>
          <w:lang w:val="de-DE"/>
        </w:rPr>
        <w:t xml:space="preserve"> Special, der hauptsächlich </w:t>
      </w:r>
      <w:r w:rsidRPr="00DD5D37">
        <w:rPr>
          <w:lang w:val="de-DE"/>
        </w:rPr>
        <w:t>aus einem starken Auftragseingangs i</w:t>
      </w:r>
      <w:r w:rsidR="006C5FAE">
        <w:rPr>
          <w:lang w:val="de-DE"/>
        </w:rPr>
        <w:t xml:space="preserve">n Q4 2023 resultiert, sowie der </w:t>
      </w:r>
      <w:r w:rsidRPr="00DD5D37">
        <w:rPr>
          <w:lang w:val="de-DE"/>
        </w:rPr>
        <w:t>Realisierung von Effizienzvorteilen aus de</w:t>
      </w:r>
      <w:r w:rsidR="006C5FAE">
        <w:rPr>
          <w:lang w:val="de-DE"/>
        </w:rPr>
        <w:t xml:space="preserve">m Fokusprogramm “Spotlight“. Ob </w:t>
      </w:r>
      <w:r w:rsidRPr="00DD5D37">
        <w:rPr>
          <w:lang w:val="de-DE"/>
        </w:rPr>
        <w:t>die angenommenen Effekte entsprechend d</w:t>
      </w:r>
      <w:r w:rsidR="006C5FAE">
        <w:rPr>
          <w:lang w:val="de-DE"/>
        </w:rPr>
        <w:t xml:space="preserve">er internen Planung vollständig </w:t>
      </w:r>
      <w:r w:rsidRPr="00DD5D37">
        <w:rPr>
          <w:lang w:val="de-DE"/>
        </w:rPr>
        <w:t>im Schlussquartal realisiert werden können, u</w:t>
      </w:r>
      <w:r w:rsidR="006C5FAE">
        <w:rPr>
          <w:lang w:val="de-DE"/>
        </w:rPr>
        <w:t xml:space="preserve">nterliegt einer leicht erhöhten </w:t>
      </w:r>
      <w:r w:rsidRPr="00DD5D37">
        <w:rPr>
          <w:lang w:val="de-DE"/>
        </w:rPr>
        <w:t xml:space="preserve">Prognoseunsicherheit, etwa bei der Phasenzuordnung </w:t>
      </w:r>
      <w:r w:rsidR="006C5FAE">
        <w:rPr>
          <w:lang w:val="de-DE"/>
        </w:rPr>
        <w:t xml:space="preserve">von einzelnen Auftragseingängen </w:t>
      </w:r>
      <w:r w:rsidRPr="00DD5D37">
        <w:rPr>
          <w:lang w:val="de-DE"/>
        </w:rPr>
        <w:t>und erfolgreichen Inbetriebnahmen.</w:t>
      </w:r>
      <w:r w:rsidR="00DF36D4">
        <w:rPr>
          <w:lang w:val="de-DE"/>
        </w:rPr>
        <w:br/>
      </w:r>
      <w:r w:rsidR="00DF36D4">
        <w:rPr>
          <w:lang w:val="de-DE"/>
        </w:rPr>
        <w:br/>
      </w:r>
      <w:hyperlink r:id="rId12" w:history="1">
        <w:r w:rsidR="003B55F6" w:rsidRPr="00696BD7">
          <w:rPr>
            <w:rStyle w:val="Hyperlink"/>
            <w:lang w:val="de-DE"/>
          </w:rPr>
          <w:t>Zahlen auf einen Blick</w:t>
        </w:r>
      </w:hyperlink>
    </w:p>
    <w:p w14:paraId="63547262" w14:textId="4363A077" w:rsidR="00A907B4" w:rsidRPr="003B55F6" w:rsidRDefault="003B55F6">
      <w:pPr>
        <w:shd w:val="clear" w:color="auto" w:fill="FFFFFF"/>
        <w:spacing w:after="500"/>
        <w:rPr>
          <w:lang w:val="de-DE"/>
        </w:rPr>
      </w:pPr>
      <w:r w:rsidRPr="003B55F6">
        <w:rPr>
          <w:color w:val="0A0F0A"/>
          <w:lang w:val="de-DE"/>
        </w:rPr>
        <w:t xml:space="preserve">Die Mitteilung für das </w:t>
      </w:r>
      <w:r w:rsidR="005D7C28">
        <w:rPr>
          <w:color w:val="0A0F0A"/>
          <w:lang w:val="de-DE"/>
        </w:rPr>
        <w:t>dritte</w:t>
      </w:r>
      <w:r w:rsidRPr="003B55F6">
        <w:rPr>
          <w:color w:val="0A0F0A"/>
          <w:lang w:val="de-DE"/>
        </w:rPr>
        <w:t xml:space="preserve"> Quartal und </w:t>
      </w:r>
      <w:r w:rsidR="005D7C28">
        <w:rPr>
          <w:color w:val="0A0F0A"/>
          <w:lang w:val="de-DE"/>
        </w:rPr>
        <w:t>die ersten neun Monate</w:t>
      </w:r>
      <w:r w:rsidRPr="003B55F6">
        <w:rPr>
          <w:color w:val="0A0F0A"/>
          <w:lang w:val="de-DE"/>
        </w:rPr>
        <w:t xml:space="preserve"> 2024 steht als PDF-Download </w:t>
      </w:r>
      <w:hyperlink r:id="rId13" w:history="1">
        <w:r w:rsidRPr="006E67BB">
          <w:rPr>
            <w:rStyle w:val="Hyperlink"/>
            <w:lang w:val="de-DE"/>
          </w:rPr>
          <w:t>[hier]</w:t>
        </w:r>
      </w:hyperlink>
      <w:r w:rsidR="00087151">
        <w:rPr>
          <w:color w:val="0A0F0A"/>
          <w:lang w:val="de-DE"/>
        </w:rPr>
        <w:t xml:space="preserve"> </w:t>
      </w:r>
      <w:r w:rsidRPr="003B55F6">
        <w:rPr>
          <w:color w:val="0A0F0A"/>
          <w:lang w:val="de-DE"/>
        </w:rPr>
        <w:t>zur Verfügung.</w:t>
      </w:r>
    </w:p>
    <w:p w14:paraId="39B50BF2" w14:textId="77777777" w:rsidR="00A907B4" w:rsidRPr="003B55F6" w:rsidRDefault="003B55F6">
      <w:pPr>
        <w:pStyle w:val="berschrift4"/>
        <w:keepNext w:val="0"/>
        <w:keepLines w:val="0"/>
        <w:spacing w:before="240" w:after="40"/>
        <w:rPr>
          <w:sz w:val="22"/>
          <w:szCs w:val="22"/>
          <w:lang w:val="de-DE"/>
        </w:rPr>
      </w:pPr>
      <w:bookmarkStart w:id="5" w:name="_heading=h.ocoth7tjygwe" w:colFirst="0" w:colLast="0"/>
      <w:bookmarkEnd w:id="5"/>
      <w:r w:rsidRPr="003B55F6">
        <w:rPr>
          <w:sz w:val="22"/>
          <w:szCs w:val="22"/>
          <w:lang w:val="de-DE"/>
        </w:rPr>
        <w:t>Ansprechpartner für Investor Relations</w:t>
      </w:r>
    </w:p>
    <w:p w14:paraId="7198146F" w14:textId="77777777" w:rsidR="00A907B4" w:rsidRPr="003B55F6" w:rsidRDefault="003B55F6">
      <w:pPr>
        <w:spacing w:before="240"/>
        <w:rPr>
          <w:color w:val="0000FF"/>
          <w:lang w:val="de-DE"/>
        </w:rPr>
      </w:pPr>
      <w:r w:rsidRPr="003B55F6">
        <w:rPr>
          <w:lang w:val="de-DE"/>
        </w:rPr>
        <w:t>Koenig &amp; Bauer AG</w:t>
      </w:r>
      <w:bookmarkStart w:id="6" w:name="_GoBack"/>
      <w:bookmarkEnd w:id="6"/>
      <w:r w:rsidRPr="003B55F6">
        <w:rPr>
          <w:lang w:val="de-DE"/>
        </w:rPr>
        <w:br/>
        <w:t xml:space="preserve">Lena </w:t>
      </w:r>
      <w:proofErr w:type="spellStart"/>
      <w:r w:rsidRPr="003B55F6">
        <w:rPr>
          <w:lang w:val="de-DE"/>
        </w:rPr>
        <w:t>Landenberger</w:t>
      </w:r>
      <w:proofErr w:type="spellEnd"/>
      <w:r w:rsidRPr="003B55F6">
        <w:rPr>
          <w:lang w:val="de-DE"/>
        </w:rPr>
        <w:br/>
        <w:t>T +49 931 909-4085</w:t>
      </w:r>
      <w:r w:rsidRPr="003B55F6">
        <w:rPr>
          <w:lang w:val="de-DE"/>
        </w:rPr>
        <w:br/>
        <w:t xml:space="preserve">M </w:t>
      </w:r>
      <w:r w:rsidRPr="003B55F6">
        <w:rPr>
          <w:color w:val="0000FF"/>
          <w:lang w:val="de-DE"/>
        </w:rPr>
        <w:t>lena.landenberger@koenig-bauer.com</w:t>
      </w:r>
    </w:p>
    <w:p w14:paraId="3BF4B39F" w14:textId="77777777" w:rsidR="00A907B4" w:rsidRPr="003B55F6" w:rsidRDefault="00A907B4">
      <w:pPr>
        <w:rPr>
          <w:lang w:val="de-DE"/>
        </w:rPr>
      </w:pPr>
    </w:p>
    <w:p w14:paraId="359BACCF" w14:textId="77777777" w:rsidR="00A907B4" w:rsidRPr="003B55F6" w:rsidRDefault="003B55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0" w:lineRule="auto"/>
        <w:rPr>
          <w:highlight w:val="white"/>
          <w:lang w:val="de-DE"/>
        </w:rPr>
      </w:pPr>
      <w:r w:rsidRPr="003B55F6">
        <w:rPr>
          <w:b/>
          <w:lang w:val="de-DE"/>
        </w:rPr>
        <w:t>Über Koenig &amp; Bauer</w:t>
      </w:r>
      <w:r w:rsidRPr="003B55F6">
        <w:rPr>
          <w:lang w:val="de-DE"/>
        </w:rPr>
        <w:br/>
      </w:r>
      <w:r w:rsidRPr="003B55F6">
        <w:rPr>
          <w:highlight w:val="white"/>
          <w:lang w:val="de-DE"/>
        </w:rPr>
        <w:t>Koenig &amp; Bauer mit Sitz in Würzburg (Deutschland) ist ein weltweit tätiger Druckmaschinenhersteller. Das Unternehmen produziert Maschinen und Software-Lösungen für den gesamten Prozess von Druck und Weiterverarbeitung, schwerpunktmäßig im Bereich der Verpackungen. Anlagen von Koenig &amp; Bauer können nahezu alle Substrate bedrucken – das Portfolio reicht von Banknoten über Karton-, Wellpappe-, Folien-, Blech- und Glasverpackungen bis hin zum Bücher-, Display-, Kennzeichnungs-, Dekor-, Magazin-, Werbe- und Zeitungsdruck. Mit einer über 200-jährigen Geschichte ist Koenig &amp; Bauer der älteste Druckmaschinenhersteller der Welt und beherrscht heute fast alle Druckverfahren. Im gesamten Konzern arbeiten rund 5.700 Menschen. Koenig &amp; Bauer produziert an elf Standorten in Europa und unterhält ein weltweites Vertriebs- und Servicenetzwerk. Der Jahresumsatz im Geschäftsjahr 2023 lag bei rund 1,3 Milliarden Euro.</w:t>
      </w:r>
    </w:p>
    <w:p w14:paraId="55B60728" w14:textId="06D594F3" w:rsidR="00A907B4" w:rsidRPr="003B55F6" w:rsidRDefault="003B55F6" w:rsidP="00D01F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0" w:lineRule="auto"/>
        <w:rPr>
          <w:lang w:val="de-DE"/>
        </w:rPr>
      </w:pPr>
      <w:r w:rsidRPr="003B55F6">
        <w:rPr>
          <w:highlight w:val="white"/>
          <w:lang w:val="de-DE"/>
        </w:rPr>
        <w:t xml:space="preserve">Weitere Informationen unter </w:t>
      </w:r>
      <w:hyperlink r:id="rId14">
        <w:r w:rsidRPr="003B55F6">
          <w:rPr>
            <w:color w:val="1155CC"/>
            <w:highlight w:val="white"/>
            <w:u w:val="single"/>
            <w:lang w:val="de-DE"/>
          </w:rPr>
          <w:t>www.koenig-bauer.com</w:t>
        </w:r>
      </w:hyperlink>
    </w:p>
    <w:sectPr w:rsidR="00A907B4" w:rsidRPr="003B55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9A479" w14:textId="77777777" w:rsidR="00B64462" w:rsidRDefault="00B64462">
      <w:pPr>
        <w:spacing w:after="0" w:line="240" w:lineRule="auto"/>
      </w:pPr>
      <w:r>
        <w:separator/>
      </w:r>
    </w:p>
  </w:endnote>
  <w:endnote w:type="continuationSeparator" w:id="0">
    <w:p w14:paraId="664C2D78" w14:textId="77777777" w:rsidR="00B64462" w:rsidRDefault="00B64462">
      <w:pPr>
        <w:spacing w:after="0" w:line="240" w:lineRule="auto"/>
      </w:pPr>
      <w:r>
        <w:continuationSeparator/>
      </w:r>
    </w:p>
  </w:endnote>
  <w:endnote w:type="continuationNotice" w:id="1">
    <w:p w14:paraId="2F89155D" w14:textId="77777777" w:rsidR="00B64462" w:rsidRDefault="00B64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E9A0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2E9C7" w14:textId="77777777" w:rsidR="00B64462" w:rsidRDefault="00B6446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5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B64462" w14:paraId="4525DF8D" w14:textId="77777777">
      <w:tc>
        <w:tcPr>
          <w:tcW w:w="4530" w:type="dxa"/>
        </w:tcPr>
        <w:p w14:paraId="3C7F76BF" w14:textId="77777777" w:rsidR="00B64462" w:rsidRDefault="00B644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530" w:type="dxa"/>
        </w:tcPr>
        <w:p w14:paraId="00FB562E" w14:textId="7592E154" w:rsidR="00B64462" w:rsidRDefault="00F24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>
            <w:rPr>
              <w:color w:val="000000"/>
              <w:sz w:val="14"/>
              <w:szCs w:val="14"/>
            </w:rPr>
            <w:t>Quartalsmitteilung</w:t>
          </w:r>
          <w:proofErr w:type="spellEnd"/>
          <w:r>
            <w:rPr>
              <w:color w:val="000000"/>
              <w:sz w:val="14"/>
              <w:szCs w:val="14"/>
            </w:rPr>
            <w:t xml:space="preserve"> 9-Monate &amp; Q3 2024</w:t>
          </w:r>
          <w:r w:rsidR="00B64462">
            <w:rPr>
              <w:color w:val="000000"/>
              <w:sz w:val="14"/>
              <w:szCs w:val="14"/>
            </w:rPr>
            <w:t xml:space="preserve"> | </w:t>
          </w:r>
          <w:r w:rsidR="00B64462">
            <w:rPr>
              <w:color w:val="000000"/>
              <w:sz w:val="14"/>
              <w:szCs w:val="14"/>
            </w:rPr>
            <w:fldChar w:fldCharType="begin"/>
          </w:r>
          <w:r w:rsidR="00B64462">
            <w:rPr>
              <w:color w:val="000000"/>
              <w:sz w:val="14"/>
              <w:szCs w:val="14"/>
            </w:rPr>
            <w:instrText>PAGE</w:instrText>
          </w:r>
          <w:r w:rsidR="00B64462">
            <w:rPr>
              <w:color w:val="000000"/>
              <w:sz w:val="14"/>
              <w:szCs w:val="14"/>
            </w:rPr>
            <w:fldChar w:fldCharType="separate"/>
          </w:r>
          <w:r w:rsidR="006E67BB">
            <w:rPr>
              <w:noProof/>
              <w:color w:val="000000"/>
              <w:sz w:val="14"/>
              <w:szCs w:val="14"/>
            </w:rPr>
            <w:t>5</w:t>
          </w:r>
          <w:r w:rsidR="00B64462"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58FE10F2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919C5" w14:textId="77777777" w:rsidR="00B64462" w:rsidRDefault="00B6446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6"/>
      <w:tblW w:w="9781" w:type="dxa"/>
      <w:tblInd w:w="-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B64462" w14:paraId="4F859AC6" w14:textId="77777777">
      <w:trPr>
        <w:trHeight w:val="620"/>
      </w:trPr>
      <w:tc>
        <w:tcPr>
          <w:tcW w:w="2552" w:type="dxa"/>
        </w:tcPr>
        <w:p w14:paraId="40BE7DB2" w14:textId="77777777" w:rsidR="00B64462" w:rsidRDefault="00B644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66E8FB6A" w14:textId="77777777" w:rsidR="00B64462" w:rsidRDefault="00B644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130204FA" w14:textId="77777777" w:rsidR="00B64462" w:rsidRDefault="00B6446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538F815C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00654" w14:textId="77777777" w:rsidR="00B64462" w:rsidRDefault="00B64462">
      <w:pPr>
        <w:spacing w:after="0" w:line="240" w:lineRule="auto"/>
      </w:pPr>
      <w:r>
        <w:separator/>
      </w:r>
    </w:p>
  </w:footnote>
  <w:footnote w:type="continuationSeparator" w:id="0">
    <w:p w14:paraId="340AD67B" w14:textId="77777777" w:rsidR="00B64462" w:rsidRDefault="00B64462">
      <w:pPr>
        <w:spacing w:after="0" w:line="240" w:lineRule="auto"/>
      </w:pPr>
      <w:r>
        <w:continuationSeparator/>
      </w:r>
    </w:p>
  </w:footnote>
  <w:footnote w:type="continuationNotice" w:id="1">
    <w:p w14:paraId="1E7AADB4" w14:textId="77777777" w:rsidR="00B64462" w:rsidRDefault="00B64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303FB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68CE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 wp14:anchorId="27139467" wp14:editId="353108C3">
          <wp:extent cx="2523600" cy="2160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AE019" w14:textId="77777777" w:rsidR="00B64462" w:rsidRDefault="00B644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  <w:lang w:val="de-DE"/>
      </w:rPr>
      <w:drawing>
        <wp:inline distT="0" distB="0" distL="0" distR="0" wp14:anchorId="3529F669" wp14:editId="25DEDE42">
          <wp:extent cx="2524721" cy="2160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53F49"/>
    <w:multiLevelType w:val="multilevel"/>
    <w:tmpl w:val="49B4DB50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4"/>
    <w:rsid w:val="000036C9"/>
    <w:rsid w:val="000038B3"/>
    <w:rsid w:val="00003B1D"/>
    <w:rsid w:val="00005021"/>
    <w:rsid w:val="00006AC7"/>
    <w:rsid w:val="00007AF4"/>
    <w:rsid w:val="00011622"/>
    <w:rsid w:val="00012558"/>
    <w:rsid w:val="0001378D"/>
    <w:rsid w:val="000247E3"/>
    <w:rsid w:val="00036D94"/>
    <w:rsid w:val="0004075E"/>
    <w:rsid w:val="00042B12"/>
    <w:rsid w:val="000438F6"/>
    <w:rsid w:val="00050350"/>
    <w:rsid w:val="00051C8A"/>
    <w:rsid w:val="000520F4"/>
    <w:rsid w:val="00054BF7"/>
    <w:rsid w:val="00061169"/>
    <w:rsid w:val="0007428F"/>
    <w:rsid w:val="00087151"/>
    <w:rsid w:val="000914A2"/>
    <w:rsid w:val="00093B4D"/>
    <w:rsid w:val="000959EA"/>
    <w:rsid w:val="000A24F8"/>
    <w:rsid w:val="000A3274"/>
    <w:rsid w:val="000A4083"/>
    <w:rsid w:val="000A4511"/>
    <w:rsid w:val="000A4E61"/>
    <w:rsid w:val="000A5D40"/>
    <w:rsid w:val="000C2C9C"/>
    <w:rsid w:val="000C4B13"/>
    <w:rsid w:val="000D14CC"/>
    <w:rsid w:val="000D7B72"/>
    <w:rsid w:val="000E3518"/>
    <w:rsid w:val="000E6AB5"/>
    <w:rsid w:val="000F2765"/>
    <w:rsid w:val="000F7A89"/>
    <w:rsid w:val="001026B6"/>
    <w:rsid w:val="00103A06"/>
    <w:rsid w:val="00104C75"/>
    <w:rsid w:val="001052AA"/>
    <w:rsid w:val="00112A45"/>
    <w:rsid w:val="00114C71"/>
    <w:rsid w:val="00120539"/>
    <w:rsid w:val="0012173E"/>
    <w:rsid w:val="001256E8"/>
    <w:rsid w:val="00131F0F"/>
    <w:rsid w:val="0013227C"/>
    <w:rsid w:val="00132573"/>
    <w:rsid w:val="00132FB6"/>
    <w:rsid w:val="0013469E"/>
    <w:rsid w:val="001349AD"/>
    <w:rsid w:val="00141665"/>
    <w:rsid w:val="00155304"/>
    <w:rsid w:val="00156605"/>
    <w:rsid w:val="00161C57"/>
    <w:rsid w:val="00162C35"/>
    <w:rsid w:val="0016593E"/>
    <w:rsid w:val="00167B4C"/>
    <w:rsid w:val="00171C97"/>
    <w:rsid w:val="001847A2"/>
    <w:rsid w:val="00185CC8"/>
    <w:rsid w:val="00187A08"/>
    <w:rsid w:val="00187CB2"/>
    <w:rsid w:val="00193AE6"/>
    <w:rsid w:val="00194FC0"/>
    <w:rsid w:val="001A0532"/>
    <w:rsid w:val="001B06ED"/>
    <w:rsid w:val="001B29AF"/>
    <w:rsid w:val="001B2FC7"/>
    <w:rsid w:val="001C5385"/>
    <w:rsid w:val="001D0D62"/>
    <w:rsid w:val="001D155F"/>
    <w:rsid w:val="001D2111"/>
    <w:rsid w:val="001D54A7"/>
    <w:rsid w:val="001E1237"/>
    <w:rsid w:val="001E14DD"/>
    <w:rsid w:val="001E2F82"/>
    <w:rsid w:val="001E424E"/>
    <w:rsid w:val="001E46B0"/>
    <w:rsid w:val="001F0932"/>
    <w:rsid w:val="001F39C9"/>
    <w:rsid w:val="001F458E"/>
    <w:rsid w:val="001F5884"/>
    <w:rsid w:val="001F630F"/>
    <w:rsid w:val="001F6A1E"/>
    <w:rsid w:val="001F6E71"/>
    <w:rsid w:val="00204DC0"/>
    <w:rsid w:val="00205CE0"/>
    <w:rsid w:val="002061CE"/>
    <w:rsid w:val="00207387"/>
    <w:rsid w:val="0021190B"/>
    <w:rsid w:val="00214620"/>
    <w:rsid w:val="00215CD3"/>
    <w:rsid w:val="002203EE"/>
    <w:rsid w:val="0022064C"/>
    <w:rsid w:val="00230985"/>
    <w:rsid w:val="0024065B"/>
    <w:rsid w:val="0024470B"/>
    <w:rsid w:val="00244882"/>
    <w:rsid w:val="002455E8"/>
    <w:rsid w:val="002463F0"/>
    <w:rsid w:val="00252DE8"/>
    <w:rsid w:val="002545CF"/>
    <w:rsid w:val="00254654"/>
    <w:rsid w:val="00255103"/>
    <w:rsid w:val="00257059"/>
    <w:rsid w:val="00273F85"/>
    <w:rsid w:val="0027596D"/>
    <w:rsid w:val="002759DC"/>
    <w:rsid w:val="00276A38"/>
    <w:rsid w:val="00277037"/>
    <w:rsid w:val="0028374F"/>
    <w:rsid w:val="00284459"/>
    <w:rsid w:val="00285151"/>
    <w:rsid w:val="002857D1"/>
    <w:rsid w:val="00285DEE"/>
    <w:rsid w:val="00287388"/>
    <w:rsid w:val="002944AC"/>
    <w:rsid w:val="00296A42"/>
    <w:rsid w:val="002A3ACE"/>
    <w:rsid w:val="002B23B3"/>
    <w:rsid w:val="002C4C6F"/>
    <w:rsid w:val="002C50E3"/>
    <w:rsid w:val="002C7A54"/>
    <w:rsid w:val="002D2B3C"/>
    <w:rsid w:val="002D2B96"/>
    <w:rsid w:val="002D2FC7"/>
    <w:rsid w:val="002D2FE3"/>
    <w:rsid w:val="002D58C8"/>
    <w:rsid w:val="002D6A00"/>
    <w:rsid w:val="002D7390"/>
    <w:rsid w:val="002E6657"/>
    <w:rsid w:val="002E699C"/>
    <w:rsid w:val="002F10DD"/>
    <w:rsid w:val="002F16B6"/>
    <w:rsid w:val="002F3E84"/>
    <w:rsid w:val="00306A0F"/>
    <w:rsid w:val="00307075"/>
    <w:rsid w:val="00316F56"/>
    <w:rsid w:val="00320A39"/>
    <w:rsid w:val="0032134F"/>
    <w:rsid w:val="00321CD5"/>
    <w:rsid w:val="00322A83"/>
    <w:rsid w:val="00323547"/>
    <w:rsid w:val="0032780C"/>
    <w:rsid w:val="00334A81"/>
    <w:rsid w:val="0033616D"/>
    <w:rsid w:val="00344C60"/>
    <w:rsid w:val="003468B0"/>
    <w:rsid w:val="00347021"/>
    <w:rsid w:val="00350EB1"/>
    <w:rsid w:val="00355553"/>
    <w:rsid w:val="003629DD"/>
    <w:rsid w:val="00363AE6"/>
    <w:rsid w:val="003663CC"/>
    <w:rsid w:val="00384AF6"/>
    <w:rsid w:val="003851FC"/>
    <w:rsid w:val="00392878"/>
    <w:rsid w:val="003966BE"/>
    <w:rsid w:val="003A030A"/>
    <w:rsid w:val="003A15A0"/>
    <w:rsid w:val="003A70A4"/>
    <w:rsid w:val="003B27E7"/>
    <w:rsid w:val="003B4D4B"/>
    <w:rsid w:val="003B55F6"/>
    <w:rsid w:val="003B7C60"/>
    <w:rsid w:val="003C4EDD"/>
    <w:rsid w:val="003D2EE7"/>
    <w:rsid w:val="003D331E"/>
    <w:rsid w:val="003D41CC"/>
    <w:rsid w:val="003E3B4B"/>
    <w:rsid w:val="003E4CCF"/>
    <w:rsid w:val="003E7ED5"/>
    <w:rsid w:val="003F4C58"/>
    <w:rsid w:val="004113A4"/>
    <w:rsid w:val="00411A29"/>
    <w:rsid w:val="00413BE2"/>
    <w:rsid w:val="00427C83"/>
    <w:rsid w:val="00455955"/>
    <w:rsid w:val="00473400"/>
    <w:rsid w:val="00475272"/>
    <w:rsid w:val="00475B45"/>
    <w:rsid w:val="004801C9"/>
    <w:rsid w:val="004806A8"/>
    <w:rsid w:val="00481190"/>
    <w:rsid w:val="00493898"/>
    <w:rsid w:val="00494D83"/>
    <w:rsid w:val="004A3652"/>
    <w:rsid w:val="004A3B3D"/>
    <w:rsid w:val="004A601D"/>
    <w:rsid w:val="004A63E7"/>
    <w:rsid w:val="004B2569"/>
    <w:rsid w:val="004B2DC0"/>
    <w:rsid w:val="004B35A8"/>
    <w:rsid w:val="004B4386"/>
    <w:rsid w:val="004B5829"/>
    <w:rsid w:val="004C5FDF"/>
    <w:rsid w:val="004D0C09"/>
    <w:rsid w:val="004D10F3"/>
    <w:rsid w:val="004D3BF8"/>
    <w:rsid w:val="004D6DB3"/>
    <w:rsid w:val="004D74D8"/>
    <w:rsid w:val="004E1A59"/>
    <w:rsid w:val="004E4588"/>
    <w:rsid w:val="004E79D2"/>
    <w:rsid w:val="004F0204"/>
    <w:rsid w:val="004F2688"/>
    <w:rsid w:val="004F5796"/>
    <w:rsid w:val="00502334"/>
    <w:rsid w:val="00506B44"/>
    <w:rsid w:val="00507F06"/>
    <w:rsid w:val="005105F6"/>
    <w:rsid w:val="00511B7D"/>
    <w:rsid w:val="0051226C"/>
    <w:rsid w:val="00513805"/>
    <w:rsid w:val="005178E7"/>
    <w:rsid w:val="00520E24"/>
    <w:rsid w:val="00531347"/>
    <w:rsid w:val="00531B1F"/>
    <w:rsid w:val="00532CE6"/>
    <w:rsid w:val="00541708"/>
    <w:rsid w:val="00547BF2"/>
    <w:rsid w:val="00563282"/>
    <w:rsid w:val="0057100E"/>
    <w:rsid w:val="00574BA9"/>
    <w:rsid w:val="00574FD3"/>
    <w:rsid w:val="005830DB"/>
    <w:rsid w:val="00592437"/>
    <w:rsid w:val="0059338C"/>
    <w:rsid w:val="00593BC1"/>
    <w:rsid w:val="00595260"/>
    <w:rsid w:val="005A0169"/>
    <w:rsid w:val="005A0266"/>
    <w:rsid w:val="005A0C61"/>
    <w:rsid w:val="005A21B8"/>
    <w:rsid w:val="005B794F"/>
    <w:rsid w:val="005C0863"/>
    <w:rsid w:val="005C38D6"/>
    <w:rsid w:val="005C487F"/>
    <w:rsid w:val="005C7B50"/>
    <w:rsid w:val="005D3F4A"/>
    <w:rsid w:val="005D6947"/>
    <w:rsid w:val="005D7C28"/>
    <w:rsid w:val="005E13E9"/>
    <w:rsid w:val="005E3E7F"/>
    <w:rsid w:val="005E46B1"/>
    <w:rsid w:val="005E69DE"/>
    <w:rsid w:val="005F35BD"/>
    <w:rsid w:val="006030C7"/>
    <w:rsid w:val="00606051"/>
    <w:rsid w:val="0061334F"/>
    <w:rsid w:val="0061541F"/>
    <w:rsid w:val="0062174E"/>
    <w:rsid w:val="00636E12"/>
    <w:rsid w:val="00641178"/>
    <w:rsid w:val="00643D9A"/>
    <w:rsid w:val="00647F60"/>
    <w:rsid w:val="00652F52"/>
    <w:rsid w:val="0065375C"/>
    <w:rsid w:val="00655939"/>
    <w:rsid w:val="00667413"/>
    <w:rsid w:val="00667832"/>
    <w:rsid w:val="006721C5"/>
    <w:rsid w:val="006759EE"/>
    <w:rsid w:val="00677E07"/>
    <w:rsid w:val="00681D58"/>
    <w:rsid w:val="00682F93"/>
    <w:rsid w:val="006862D3"/>
    <w:rsid w:val="00690F94"/>
    <w:rsid w:val="00693D7C"/>
    <w:rsid w:val="00696BD7"/>
    <w:rsid w:val="006A2267"/>
    <w:rsid w:val="006A2D60"/>
    <w:rsid w:val="006A6112"/>
    <w:rsid w:val="006B529B"/>
    <w:rsid w:val="006B631A"/>
    <w:rsid w:val="006C5FAE"/>
    <w:rsid w:val="006C738E"/>
    <w:rsid w:val="006D1E6F"/>
    <w:rsid w:val="006D23BE"/>
    <w:rsid w:val="006D2DF8"/>
    <w:rsid w:val="006D38AB"/>
    <w:rsid w:val="006D3C3B"/>
    <w:rsid w:val="006D403F"/>
    <w:rsid w:val="006D754A"/>
    <w:rsid w:val="006E4852"/>
    <w:rsid w:val="006E67BB"/>
    <w:rsid w:val="006E6A97"/>
    <w:rsid w:val="006F0418"/>
    <w:rsid w:val="006F28F1"/>
    <w:rsid w:val="006F445E"/>
    <w:rsid w:val="006F5DCE"/>
    <w:rsid w:val="00707E27"/>
    <w:rsid w:val="007101A9"/>
    <w:rsid w:val="007210FA"/>
    <w:rsid w:val="00731104"/>
    <w:rsid w:val="00731522"/>
    <w:rsid w:val="0073185C"/>
    <w:rsid w:val="00732C1A"/>
    <w:rsid w:val="0074179E"/>
    <w:rsid w:val="0074545F"/>
    <w:rsid w:val="00750693"/>
    <w:rsid w:val="00751AD3"/>
    <w:rsid w:val="007522F7"/>
    <w:rsid w:val="007639AD"/>
    <w:rsid w:val="007642D9"/>
    <w:rsid w:val="00764A7C"/>
    <w:rsid w:val="00766995"/>
    <w:rsid w:val="007703FF"/>
    <w:rsid w:val="007715A4"/>
    <w:rsid w:val="00773746"/>
    <w:rsid w:val="00773B7D"/>
    <w:rsid w:val="00775572"/>
    <w:rsid w:val="00775A2E"/>
    <w:rsid w:val="00780A6B"/>
    <w:rsid w:val="00780D84"/>
    <w:rsid w:val="00791494"/>
    <w:rsid w:val="00792DCB"/>
    <w:rsid w:val="00793519"/>
    <w:rsid w:val="00796167"/>
    <w:rsid w:val="007A38CE"/>
    <w:rsid w:val="007A7060"/>
    <w:rsid w:val="007B1F71"/>
    <w:rsid w:val="007B33E7"/>
    <w:rsid w:val="007B4B24"/>
    <w:rsid w:val="007D1D7D"/>
    <w:rsid w:val="007D577A"/>
    <w:rsid w:val="007E143A"/>
    <w:rsid w:val="007E420A"/>
    <w:rsid w:val="007F2D37"/>
    <w:rsid w:val="007F5906"/>
    <w:rsid w:val="007F7C47"/>
    <w:rsid w:val="00803F45"/>
    <w:rsid w:val="00811806"/>
    <w:rsid w:val="008213A6"/>
    <w:rsid w:val="008226DD"/>
    <w:rsid w:val="008230CD"/>
    <w:rsid w:val="00826302"/>
    <w:rsid w:val="00832F96"/>
    <w:rsid w:val="0083464C"/>
    <w:rsid w:val="008351E1"/>
    <w:rsid w:val="0083570C"/>
    <w:rsid w:val="00843522"/>
    <w:rsid w:val="00843674"/>
    <w:rsid w:val="00850251"/>
    <w:rsid w:val="00851C76"/>
    <w:rsid w:val="00854FE8"/>
    <w:rsid w:val="00873FE5"/>
    <w:rsid w:val="00874916"/>
    <w:rsid w:val="0088051E"/>
    <w:rsid w:val="00891C0F"/>
    <w:rsid w:val="008B040F"/>
    <w:rsid w:val="008B04C1"/>
    <w:rsid w:val="008C48F7"/>
    <w:rsid w:val="008C57EA"/>
    <w:rsid w:val="008E5A2E"/>
    <w:rsid w:val="008F015A"/>
    <w:rsid w:val="008F0EB7"/>
    <w:rsid w:val="008F5D1A"/>
    <w:rsid w:val="00903563"/>
    <w:rsid w:val="00904D4E"/>
    <w:rsid w:val="00905D3C"/>
    <w:rsid w:val="009072B3"/>
    <w:rsid w:val="00907E2C"/>
    <w:rsid w:val="00913C60"/>
    <w:rsid w:val="0092039C"/>
    <w:rsid w:val="00921F67"/>
    <w:rsid w:val="00923B2E"/>
    <w:rsid w:val="00935D6F"/>
    <w:rsid w:val="00942ACF"/>
    <w:rsid w:val="00944850"/>
    <w:rsid w:val="009563EB"/>
    <w:rsid w:val="009607E9"/>
    <w:rsid w:val="00963A82"/>
    <w:rsid w:val="009663BE"/>
    <w:rsid w:val="009712DE"/>
    <w:rsid w:val="0097481B"/>
    <w:rsid w:val="009765B7"/>
    <w:rsid w:val="00982363"/>
    <w:rsid w:val="00986EC0"/>
    <w:rsid w:val="00987EB8"/>
    <w:rsid w:val="009905C9"/>
    <w:rsid w:val="009A1905"/>
    <w:rsid w:val="009A4C4C"/>
    <w:rsid w:val="009A5227"/>
    <w:rsid w:val="009A5449"/>
    <w:rsid w:val="009A6734"/>
    <w:rsid w:val="009B39FE"/>
    <w:rsid w:val="009C1501"/>
    <w:rsid w:val="009C4B2C"/>
    <w:rsid w:val="009D43F2"/>
    <w:rsid w:val="009D61EA"/>
    <w:rsid w:val="009E17B1"/>
    <w:rsid w:val="009E6573"/>
    <w:rsid w:val="009F224B"/>
    <w:rsid w:val="009F2A5F"/>
    <w:rsid w:val="009F3E35"/>
    <w:rsid w:val="00A14350"/>
    <w:rsid w:val="00A14BDC"/>
    <w:rsid w:val="00A15DAB"/>
    <w:rsid w:val="00A21673"/>
    <w:rsid w:val="00A269ED"/>
    <w:rsid w:val="00A34CCB"/>
    <w:rsid w:val="00A440B6"/>
    <w:rsid w:val="00A459DB"/>
    <w:rsid w:val="00A46486"/>
    <w:rsid w:val="00A50CEE"/>
    <w:rsid w:val="00A51AC0"/>
    <w:rsid w:val="00A5347E"/>
    <w:rsid w:val="00A547A8"/>
    <w:rsid w:val="00A54C5E"/>
    <w:rsid w:val="00A57295"/>
    <w:rsid w:val="00A7518A"/>
    <w:rsid w:val="00A8012A"/>
    <w:rsid w:val="00A815F1"/>
    <w:rsid w:val="00A83017"/>
    <w:rsid w:val="00A87EF3"/>
    <w:rsid w:val="00A907B4"/>
    <w:rsid w:val="00A92B0E"/>
    <w:rsid w:val="00AA0355"/>
    <w:rsid w:val="00AA1358"/>
    <w:rsid w:val="00AA2D5D"/>
    <w:rsid w:val="00AC30BF"/>
    <w:rsid w:val="00AC421E"/>
    <w:rsid w:val="00AC4DDD"/>
    <w:rsid w:val="00AE1CF1"/>
    <w:rsid w:val="00AE678F"/>
    <w:rsid w:val="00AF164E"/>
    <w:rsid w:val="00AF191A"/>
    <w:rsid w:val="00AF4895"/>
    <w:rsid w:val="00AF635B"/>
    <w:rsid w:val="00AF713A"/>
    <w:rsid w:val="00B11E51"/>
    <w:rsid w:val="00B17D1D"/>
    <w:rsid w:val="00B24022"/>
    <w:rsid w:val="00B25DBC"/>
    <w:rsid w:val="00B271AC"/>
    <w:rsid w:val="00B32B8D"/>
    <w:rsid w:val="00B34C95"/>
    <w:rsid w:val="00B44D34"/>
    <w:rsid w:val="00B45533"/>
    <w:rsid w:val="00B47E14"/>
    <w:rsid w:val="00B56D24"/>
    <w:rsid w:val="00B62673"/>
    <w:rsid w:val="00B62EFD"/>
    <w:rsid w:val="00B64033"/>
    <w:rsid w:val="00B64462"/>
    <w:rsid w:val="00B662E8"/>
    <w:rsid w:val="00B67178"/>
    <w:rsid w:val="00B7217B"/>
    <w:rsid w:val="00B72D89"/>
    <w:rsid w:val="00B73D26"/>
    <w:rsid w:val="00B81389"/>
    <w:rsid w:val="00B814B9"/>
    <w:rsid w:val="00B82520"/>
    <w:rsid w:val="00B861E9"/>
    <w:rsid w:val="00B876BF"/>
    <w:rsid w:val="00B96E3B"/>
    <w:rsid w:val="00BA02BC"/>
    <w:rsid w:val="00BA2BB0"/>
    <w:rsid w:val="00BA62ED"/>
    <w:rsid w:val="00BB58C1"/>
    <w:rsid w:val="00BB58CD"/>
    <w:rsid w:val="00BB6182"/>
    <w:rsid w:val="00BD1979"/>
    <w:rsid w:val="00BD1CBE"/>
    <w:rsid w:val="00BD38AB"/>
    <w:rsid w:val="00BD4257"/>
    <w:rsid w:val="00BD4E72"/>
    <w:rsid w:val="00BF2B1D"/>
    <w:rsid w:val="00C016E2"/>
    <w:rsid w:val="00C03A48"/>
    <w:rsid w:val="00C052FE"/>
    <w:rsid w:val="00C121AA"/>
    <w:rsid w:val="00C142B9"/>
    <w:rsid w:val="00C32EF6"/>
    <w:rsid w:val="00C35B58"/>
    <w:rsid w:val="00C360F2"/>
    <w:rsid w:val="00C36F58"/>
    <w:rsid w:val="00C4097B"/>
    <w:rsid w:val="00C50333"/>
    <w:rsid w:val="00C51C7D"/>
    <w:rsid w:val="00C5554A"/>
    <w:rsid w:val="00C56E2F"/>
    <w:rsid w:val="00C5721D"/>
    <w:rsid w:val="00C62101"/>
    <w:rsid w:val="00C63962"/>
    <w:rsid w:val="00C758FB"/>
    <w:rsid w:val="00C84DC6"/>
    <w:rsid w:val="00C9267E"/>
    <w:rsid w:val="00CA3C46"/>
    <w:rsid w:val="00CA6DF6"/>
    <w:rsid w:val="00CB66D6"/>
    <w:rsid w:val="00CC3DF2"/>
    <w:rsid w:val="00CC4ECD"/>
    <w:rsid w:val="00CD13C7"/>
    <w:rsid w:val="00CD24D5"/>
    <w:rsid w:val="00CD25D9"/>
    <w:rsid w:val="00CD7E13"/>
    <w:rsid w:val="00CE0BA4"/>
    <w:rsid w:val="00CF3CB5"/>
    <w:rsid w:val="00D003D7"/>
    <w:rsid w:val="00D01F5C"/>
    <w:rsid w:val="00D06787"/>
    <w:rsid w:val="00D068FF"/>
    <w:rsid w:val="00D11303"/>
    <w:rsid w:val="00D12CA0"/>
    <w:rsid w:val="00D14A21"/>
    <w:rsid w:val="00D16518"/>
    <w:rsid w:val="00D220CF"/>
    <w:rsid w:val="00D23079"/>
    <w:rsid w:val="00D275AB"/>
    <w:rsid w:val="00D353E8"/>
    <w:rsid w:val="00D36DA5"/>
    <w:rsid w:val="00D4262D"/>
    <w:rsid w:val="00D427E5"/>
    <w:rsid w:val="00D43E93"/>
    <w:rsid w:val="00D50FAB"/>
    <w:rsid w:val="00D55766"/>
    <w:rsid w:val="00D566C5"/>
    <w:rsid w:val="00D65EF5"/>
    <w:rsid w:val="00D7695D"/>
    <w:rsid w:val="00D81929"/>
    <w:rsid w:val="00D8562F"/>
    <w:rsid w:val="00D86904"/>
    <w:rsid w:val="00D947D9"/>
    <w:rsid w:val="00D9514D"/>
    <w:rsid w:val="00DA35CA"/>
    <w:rsid w:val="00DA7FBA"/>
    <w:rsid w:val="00DB1DE2"/>
    <w:rsid w:val="00DB3865"/>
    <w:rsid w:val="00DC214E"/>
    <w:rsid w:val="00DC2715"/>
    <w:rsid w:val="00DC59B9"/>
    <w:rsid w:val="00DD1B0C"/>
    <w:rsid w:val="00DD2AF2"/>
    <w:rsid w:val="00DD34E4"/>
    <w:rsid w:val="00DD5D37"/>
    <w:rsid w:val="00DD639D"/>
    <w:rsid w:val="00DD6BE2"/>
    <w:rsid w:val="00DD797E"/>
    <w:rsid w:val="00DE1461"/>
    <w:rsid w:val="00DF36D4"/>
    <w:rsid w:val="00E065AD"/>
    <w:rsid w:val="00E06E4F"/>
    <w:rsid w:val="00E075A7"/>
    <w:rsid w:val="00E107FC"/>
    <w:rsid w:val="00E11168"/>
    <w:rsid w:val="00E15437"/>
    <w:rsid w:val="00E24E21"/>
    <w:rsid w:val="00E25065"/>
    <w:rsid w:val="00E336F1"/>
    <w:rsid w:val="00E341F1"/>
    <w:rsid w:val="00E45DAC"/>
    <w:rsid w:val="00E575B6"/>
    <w:rsid w:val="00E57BCB"/>
    <w:rsid w:val="00E62B39"/>
    <w:rsid w:val="00E638DB"/>
    <w:rsid w:val="00E64417"/>
    <w:rsid w:val="00E6551F"/>
    <w:rsid w:val="00E656B4"/>
    <w:rsid w:val="00E66B3A"/>
    <w:rsid w:val="00E70899"/>
    <w:rsid w:val="00E70E95"/>
    <w:rsid w:val="00E75D83"/>
    <w:rsid w:val="00E85037"/>
    <w:rsid w:val="00E85DCD"/>
    <w:rsid w:val="00E874CF"/>
    <w:rsid w:val="00E90308"/>
    <w:rsid w:val="00E9054D"/>
    <w:rsid w:val="00E90DC5"/>
    <w:rsid w:val="00E90E1B"/>
    <w:rsid w:val="00E943D1"/>
    <w:rsid w:val="00E97CE5"/>
    <w:rsid w:val="00EA2899"/>
    <w:rsid w:val="00EB4952"/>
    <w:rsid w:val="00EC3287"/>
    <w:rsid w:val="00EE0C48"/>
    <w:rsid w:val="00EE4E53"/>
    <w:rsid w:val="00EE5ECF"/>
    <w:rsid w:val="00F064A2"/>
    <w:rsid w:val="00F167FE"/>
    <w:rsid w:val="00F21B56"/>
    <w:rsid w:val="00F242D6"/>
    <w:rsid w:val="00F279A6"/>
    <w:rsid w:val="00F3403A"/>
    <w:rsid w:val="00F42195"/>
    <w:rsid w:val="00F4636B"/>
    <w:rsid w:val="00F56841"/>
    <w:rsid w:val="00F57C6D"/>
    <w:rsid w:val="00F60FF6"/>
    <w:rsid w:val="00F64E2A"/>
    <w:rsid w:val="00F67E37"/>
    <w:rsid w:val="00F84D79"/>
    <w:rsid w:val="00F856AC"/>
    <w:rsid w:val="00F9156E"/>
    <w:rsid w:val="00FA2BDB"/>
    <w:rsid w:val="00FA4029"/>
    <w:rsid w:val="00FB5914"/>
    <w:rsid w:val="00FB6664"/>
    <w:rsid w:val="00FC2D7B"/>
    <w:rsid w:val="00FC47EB"/>
    <w:rsid w:val="00FE1D41"/>
    <w:rsid w:val="00FE2626"/>
    <w:rsid w:val="00FE6F2E"/>
    <w:rsid w:val="00FF2101"/>
    <w:rsid w:val="00FF348B"/>
    <w:rsid w:val="00FF388D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3571"/>
  <w15:docId w15:val="{51C6C456-0083-4CA4-8729-7B9DA317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/>
      <w:keepLines/>
      <w:spacing w:after="0"/>
      <w:outlineLvl w:val="2"/>
    </w:pPr>
    <w:rPr>
      <w:b/>
      <w:color w:val="002355"/>
    </w:rPr>
  </w:style>
  <w:style w:type="paragraph" w:styleId="berschrift4">
    <w:name w:val="heading 4"/>
    <w:basedOn w:val="Standard"/>
    <w:next w:val="Standard"/>
    <w:pPr>
      <w:keepNext/>
      <w:keepLines/>
      <w:spacing w:after="0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pPr>
      <w:keepNext/>
      <w:keepLines/>
      <w:spacing w:after="0"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pPr>
      <w:keepNext/>
      <w:keepLines/>
      <w:spacing w:after="0"/>
      <w:outlineLvl w:val="5"/>
    </w:pPr>
    <w:rPr>
      <w:b/>
      <w:color w:val="00112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520E24"/>
    <w:pPr>
      <w:spacing w:after="0" w:line="240" w:lineRule="auto"/>
    </w:pPr>
  </w:style>
  <w:style w:type="paragraph" w:styleId="Titel">
    <w:name w:val="Title"/>
    <w:basedOn w:val="Standard"/>
    <w:next w:val="Standard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table" w:customStyle="1" w:styleId="TableNormal9">
    <w:name w:val="Table Normal9"/>
    <w:rsid w:val="006B63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1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2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3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4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5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Ind w:w="0" w:type="nil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6">
    <w:basedOn w:val="NormaleTabelle"/>
    <w:pPr>
      <w:spacing w:after="0" w:line="240" w:lineRule="auto"/>
    </w:pPr>
    <w:rPr>
      <w:sz w:val="17"/>
      <w:szCs w:val="17"/>
    </w:rPr>
    <w:tblPr>
      <w:tblStyleRowBandSize w:val="1"/>
      <w:tblStyleColBandSize w:val="1"/>
      <w:tblInd w:w="0" w:type="nil"/>
      <w:tblCellMar>
        <w:top w:w="57" w:type="dxa"/>
        <w:left w:w="0" w:type="dxa"/>
        <w:bottom w:w="28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51A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1AD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1AD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A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AD3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B2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24022"/>
  </w:style>
  <w:style w:type="paragraph" w:styleId="Fuzeile">
    <w:name w:val="footer"/>
    <w:basedOn w:val="Standard"/>
    <w:link w:val="FuzeileZchn"/>
    <w:uiPriority w:val="99"/>
    <w:semiHidden/>
    <w:unhideWhenUsed/>
    <w:rsid w:val="00B2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24022"/>
  </w:style>
  <w:style w:type="table" w:customStyle="1" w:styleId="TableNormal1">
    <w:name w:val="Table Normal1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6B6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EF3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96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vestors.koenig-bauer.com/fileadmin/user_upload/04_Unternehmen/Investor_Relations/Berichte/Berichte_2024_q3/24-11-07-ir-statement-q3-2024-d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investors.koenig-bauer.com/fileadmin/user_upload/04_Unternehmen/Investor_Relations/Berichte/Berichte_2024_q3/24-11-07-ir-key-figures-9m-and-q3-d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oenig-bauer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C05CB85BA6545A3EB5BA128F8AD38" ma:contentTypeVersion="10" ma:contentTypeDescription="Ein neues Dokument erstellen." ma:contentTypeScope="" ma:versionID="88a6a7db3b3ea6d5c7bd0dd43257ab51">
  <xsd:schema xmlns:xsd="http://www.w3.org/2001/XMLSchema" xmlns:xs="http://www.w3.org/2001/XMLSchema" xmlns:p="http://schemas.microsoft.com/office/2006/metadata/properties" xmlns:ns2="fce71c61-7bb3-467f-bc3a-77f8d22094c3" targetNamespace="http://schemas.microsoft.com/office/2006/metadata/properties" ma:root="true" ma:fieldsID="2010feeea63d2af371bf36d4af7fd526" ns2:_="">
    <xsd:import namespace="fce71c61-7bb3-467f-bc3a-77f8d2209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1c61-7bb3-467f-bc3a-77f8d2209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8c73527-70ac-45dd-ba17-f9c4619ca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e71c61-7bb3-467f-bc3a-77f8d22094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vGmM6cM2q+ZwLVXYEyLriahPrg==">CgMxLjAyCGguZ2pkZ3hzMgloLjMwajB6bGwyDmguanRvNGgwanA2cHc2MgloLjFmb2I5dGUyDmgubnpleDMwdXl0amJjMg5oLjd3MXFvZHZyY2IwZDIOaC50dGJqOXJwOW51d24yDmgucjZwbmE4MWExMm0wMg5oLnJoMmplbGtrbGs0YTIOaC5vY290aDd0anlnd2U4AHIhMVpUaVlfX2kzY3A5bWxDUzlIWDVmS2xlMlNRSWRsdjRT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DFBCF-91A8-4660-B8B4-9CB15B8EC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1c61-7bb3-467f-bc3a-77f8d2209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04EE1-53FB-47B4-910D-E83A7F8A8821}">
  <ds:schemaRefs>
    <ds:schemaRef ds:uri="fce71c61-7bb3-467f-bc3a-77f8d22094c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ED6681-0C38-4C9D-BDC2-4EA67C3DF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3599085-2A6F-4202-9213-909A7949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KOENIG &amp; BAUER AG</Company>
  <LinksUpToDate>false</LinksUpToDate>
  <CharactersWithSpaces>14545</CharactersWithSpaces>
  <SharedDoc>false</SharedDoc>
  <HLinks>
    <vt:vector size="18" baseType="variant">
      <vt:variant>
        <vt:i4>720989</vt:i4>
      </vt:variant>
      <vt:variant>
        <vt:i4>6</vt:i4>
      </vt:variant>
      <vt:variant>
        <vt:i4>0</vt:i4>
      </vt:variant>
      <vt:variant>
        <vt:i4>5</vt:i4>
      </vt:variant>
      <vt:variant>
        <vt:lpwstr>http://www.koenig-bauer.com/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https://investors.koenig-bauer.com/fileadmin/user_upload/04_Unternehmen/Investor_Relations/Berichte/Berichte_2024/koenig-bauer-zwischenmitteilung-q1-2024-de-web.pdf</vt:lpwstr>
      </vt:variant>
      <vt:variant>
        <vt:lpwstr/>
      </vt:variant>
      <vt:variant>
        <vt:i4>2555946</vt:i4>
      </vt:variant>
      <vt:variant>
        <vt:i4>0</vt:i4>
      </vt:variant>
      <vt:variant>
        <vt:i4>0</vt:i4>
      </vt:variant>
      <vt:variant>
        <vt:i4>5</vt:i4>
      </vt:variant>
      <vt:variant>
        <vt:lpwstr>https://www.koenig-bauer.com/fileadmin/user_upload/04_Unternehmen/Investor_Relations/Berichte/Berichte_2024/q1-2024-zahlen-auf-einen-blick.pdf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Landenberger, Lena (ZFI)</dc:creator>
  <cp:lastModifiedBy>Rügamer, René (ZFI)</cp:lastModifiedBy>
  <cp:revision>4</cp:revision>
  <cp:lastPrinted>2024-11-05T10:18:00Z</cp:lastPrinted>
  <dcterms:created xsi:type="dcterms:W3CDTF">2024-11-06T21:06:00Z</dcterms:created>
  <dcterms:modified xsi:type="dcterms:W3CDTF">2024-11-07T07:00:00Z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0x0101002B8C05CB85BA6545A3EB5BA128F8AD38</vt:lpwstr>
  </property>
  <property fmtid="{D5CDD505-2E9C-101B-9397-08002B2CF9AE}" pid="3" name="MediaServiceImageTags">
    <vt:lpwstr/>
  </property>
</Properties>
</file>