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1C626" w14:textId="52F3975D" w:rsidR="00A907B4" w:rsidRPr="003B55F6" w:rsidRDefault="003B55F6">
      <w:pPr>
        <w:pStyle w:val="Titel"/>
        <w:rPr>
          <w:highlight w:val="green"/>
          <w:lang w:val="de-DE"/>
        </w:rPr>
      </w:pPr>
      <w:bookmarkStart w:id="0" w:name="_heading=h.gjdgxs" w:colFirst="0" w:colLast="0"/>
      <w:bookmarkEnd w:id="0"/>
      <w:r w:rsidRPr="003B55F6">
        <w:rPr>
          <w:lang w:val="de-DE"/>
        </w:rPr>
        <w:t xml:space="preserve">Presseinformation </w:t>
      </w:r>
    </w:p>
    <w:p w14:paraId="3F445F3F" w14:textId="001B71C6" w:rsidR="0083570C" w:rsidRPr="0083570C" w:rsidRDefault="00A56C37" w:rsidP="0083570C">
      <w:pPr>
        <w:rPr>
          <w:lang w:val="de-DE"/>
        </w:rPr>
      </w:pPr>
      <w:bookmarkStart w:id="1" w:name="_heading=h.30j0zll" w:colFirst="0" w:colLast="0"/>
      <w:bookmarkEnd w:id="1"/>
      <w:r w:rsidRPr="00A56C37">
        <w:rPr>
          <w:b/>
          <w:color w:val="002355"/>
          <w:sz w:val="40"/>
          <w:szCs w:val="40"/>
          <w:lang w:val="de-DE"/>
        </w:rPr>
        <w:t>Koenig &amp; Bauer: Starkes Q4 sichert Zielerreichung 2024 – höhere Profitabilität für 2025 erwartet</w:t>
      </w:r>
    </w:p>
    <w:p w14:paraId="5EAFBCB5" w14:textId="0594B0D1" w:rsidR="00A56C37" w:rsidRPr="00A56C37" w:rsidRDefault="00A56C37" w:rsidP="00A56C37">
      <w:pPr>
        <w:numPr>
          <w:ilvl w:val="0"/>
          <w:numId w:val="1"/>
        </w:numPr>
        <w:spacing w:after="0"/>
        <w:rPr>
          <w:b/>
          <w:lang w:val="de-DE"/>
        </w:rPr>
      </w:pPr>
      <w:r w:rsidRPr="00A56C37">
        <w:rPr>
          <w:b/>
          <w:lang w:val="de-DE"/>
        </w:rPr>
        <w:t>Vorläufige Zahlen: Starkes Q4 mit einem operative</w:t>
      </w:r>
      <w:r w:rsidR="0040272A">
        <w:rPr>
          <w:b/>
          <w:lang w:val="de-DE"/>
        </w:rPr>
        <w:t>n</w:t>
      </w:r>
      <w:r w:rsidRPr="00A56C37">
        <w:rPr>
          <w:b/>
          <w:lang w:val="de-DE"/>
        </w:rPr>
        <w:t xml:space="preserve"> EBIT von 46,5 Mio. € (Vj.: 32,0 M</w:t>
      </w:r>
      <w:r w:rsidR="0040272A">
        <w:rPr>
          <w:b/>
          <w:lang w:val="de-DE"/>
        </w:rPr>
        <w:t>io. €) und einem stark positiven</w:t>
      </w:r>
      <w:r w:rsidRPr="00A56C37">
        <w:rPr>
          <w:b/>
          <w:lang w:val="de-DE"/>
        </w:rPr>
        <w:t xml:space="preserve"> Free Cashflow erzielt</w:t>
      </w:r>
    </w:p>
    <w:p w14:paraId="451D1F15" w14:textId="461BC460" w:rsidR="00A56C37" w:rsidRPr="00A56C37" w:rsidRDefault="00A56C37" w:rsidP="00A56C37">
      <w:pPr>
        <w:numPr>
          <w:ilvl w:val="0"/>
          <w:numId w:val="1"/>
        </w:numPr>
        <w:spacing w:after="0"/>
        <w:rPr>
          <w:b/>
          <w:lang w:val="de-DE"/>
        </w:rPr>
      </w:pPr>
      <w:r w:rsidRPr="00A56C37">
        <w:rPr>
          <w:b/>
          <w:lang w:val="de-DE"/>
        </w:rPr>
        <w:t>Vorläufige Zahlen: Umsatz bei 1.274,4 Mio. €; operatives EBIT bereinigt um “Spotlight” und drupa von 25,8 Mio. € im Geschäftsjahr 2024 erreicht</w:t>
      </w:r>
    </w:p>
    <w:p w14:paraId="37040AAF" w14:textId="57EEEEBF" w:rsidR="00A56C37" w:rsidRPr="00A56C37" w:rsidRDefault="00A56C37" w:rsidP="00A56C37">
      <w:pPr>
        <w:numPr>
          <w:ilvl w:val="0"/>
          <w:numId w:val="1"/>
        </w:numPr>
        <w:spacing w:after="0"/>
        <w:rPr>
          <w:b/>
          <w:lang w:val="de-DE"/>
        </w:rPr>
      </w:pPr>
      <w:r w:rsidRPr="00A56C37">
        <w:rPr>
          <w:b/>
          <w:lang w:val="de-DE"/>
        </w:rPr>
        <w:t>Sondereinflüsse für “Spotlight“ und Kosten für die drupa belasten erwartungsgemäß das Konzern-EBIT - legen gleichzeitig aber das Fundament für zukünftige Profitabilität</w:t>
      </w:r>
    </w:p>
    <w:p w14:paraId="6A1B84C1" w14:textId="3119033E" w:rsidR="00A56C37" w:rsidRPr="00A56C37" w:rsidRDefault="00A56C37" w:rsidP="00A56C37">
      <w:pPr>
        <w:numPr>
          <w:ilvl w:val="0"/>
          <w:numId w:val="1"/>
        </w:numPr>
        <w:spacing w:after="0"/>
        <w:rPr>
          <w:b/>
          <w:lang w:val="de-DE"/>
        </w:rPr>
      </w:pPr>
      <w:r w:rsidRPr="00A56C37">
        <w:rPr>
          <w:b/>
          <w:lang w:val="de-DE"/>
        </w:rPr>
        <w:t>Starke Auftragslage führt zu höchstem Jahresend-Auftragsbestand in der jüngsten Unternehmensgeschichte; dient als starke Ausgangsbasis für 2025 und darüber hinaus</w:t>
      </w:r>
    </w:p>
    <w:p w14:paraId="4AA7606C" w14:textId="743966D6" w:rsidR="00A56C37" w:rsidRPr="00A56C37" w:rsidRDefault="00A56C37" w:rsidP="00A56C37">
      <w:pPr>
        <w:numPr>
          <w:ilvl w:val="0"/>
          <w:numId w:val="1"/>
        </w:numPr>
        <w:spacing w:after="0"/>
        <w:rPr>
          <w:b/>
          <w:lang w:val="de-DE"/>
        </w:rPr>
      </w:pPr>
      <w:r w:rsidRPr="00A56C37">
        <w:rPr>
          <w:b/>
          <w:lang w:val="de-DE"/>
        </w:rPr>
        <w:t xml:space="preserve">Ausblick 2025: Höhere Profitabilität bei einer leicht steigenden Umsatzentwicklung </w:t>
      </w:r>
    </w:p>
    <w:p w14:paraId="39999626" w14:textId="35B86B75" w:rsidR="00A56C37" w:rsidRPr="00A56C37" w:rsidRDefault="00A56C37" w:rsidP="00A56C37">
      <w:pPr>
        <w:numPr>
          <w:ilvl w:val="0"/>
          <w:numId w:val="1"/>
        </w:numPr>
        <w:spacing w:after="0"/>
        <w:rPr>
          <w:b/>
          <w:lang w:val="de-DE"/>
        </w:rPr>
      </w:pPr>
      <w:r w:rsidRPr="00A56C37">
        <w:rPr>
          <w:b/>
          <w:lang w:val="de-DE"/>
        </w:rPr>
        <w:t>Zielerreichung 2026 in hohem Maße von weltwirtschaftlichen und geopolitischen Entwicklungen abhängig</w:t>
      </w:r>
    </w:p>
    <w:p w14:paraId="6FA70565" w14:textId="77777777" w:rsidR="00A56C37" w:rsidRPr="00A56C37" w:rsidRDefault="003B55F6" w:rsidP="00A56C37">
      <w:pPr>
        <w:pBdr>
          <w:top w:val="nil"/>
          <w:left w:val="nil"/>
          <w:bottom w:val="nil"/>
          <w:right w:val="nil"/>
          <w:between w:val="nil"/>
        </w:pBdr>
        <w:rPr>
          <w:sz w:val="22"/>
          <w:szCs w:val="22"/>
          <w:lang w:val="de-DE"/>
        </w:rPr>
      </w:pPr>
      <w:r w:rsidRPr="003B55F6">
        <w:rPr>
          <w:b/>
          <w:color w:val="002355"/>
          <w:sz w:val="40"/>
          <w:szCs w:val="40"/>
          <w:lang w:val="de-DE"/>
        </w:rPr>
        <w:br/>
      </w:r>
      <w:bookmarkStart w:id="2" w:name="_heading=h.ocoth7tjygwe" w:colFirst="0" w:colLast="0"/>
      <w:bookmarkEnd w:id="2"/>
      <w:r w:rsidR="00A56C37" w:rsidRPr="00A56C37">
        <w:rPr>
          <w:sz w:val="22"/>
          <w:szCs w:val="22"/>
          <w:lang w:val="de-DE"/>
        </w:rPr>
        <w:t>Würzburg, 26.02.2025</w:t>
      </w:r>
      <w:r w:rsidR="00A56C37" w:rsidRPr="00A56C37">
        <w:rPr>
          <w:sz w:val="22"/>
          <w:szCs w:val="22"/>
          <w:lang w:val="de-DE"/>
        </w:rPr>
        <w:br/>
        <w:t xml:space="preserve">Auf Grundlage der vorläufigen und noch nicht testierten Geschäftszahlen hat die Koenig &amp; Bauer AG, Würzburg („Koenig &amp; Bauer“, WKN: 719 350 / ISIN: DE0007193500) das Geschäftsjahr 2024 in einem anspruchsvollen globalwirtschaftlichen Marktumfeld wie angekündigt mit einem historisch starken Schlussquartal abgeschlossen und damit alle im November 2024 definierten Teilziele erreicht, die auch zur Erfüllung der aktualisierten Jahresprognose erforderlich waren. </w:t>
      </w:r>
    </w:p>
    <w:p w14:paraId="7586E4AE" w14:textId="77777777" w:rsidR="00A56C37" w:rsidRPr="00A56C37" w:rsidRDefault="00A56C37" w:rsidP="00A56C37">
      <w:pPr>
        <w:pBdr>
          <w:top w:val="nil"/>
          <w:left w:val="nil"/>
          <w:bottom w:val="nil"/>
          <w:right w:val="nil"/>
          <w:between w:val="nil"/>
        </w:pBdr>
        <w:rPr>
          <w:color w:val="0A0F0A"/>
          <w:sz w:val="22"/>
          <w:szCs w:val="22"/>
          <w:lang w:val="de-DE"/>
        </w:rPr>
      </w:pPr>
      <w:r w:rsidRPr="00A56C37">
        <w:rPr>
          <w:b/>
          <w:color w:val="002355"/>
          <w:sz w:val="22"/>
          <w:szCs w:val="22"/>
          <w:lang w:val="de-DE"/>
        </w:rPr>
        <w:t>Historisches Schlussquartal sichert wie prognostiziert Erreichen der Jahresziele 2024</w:t>
      </w:r>
      <w:r w:rsidRPr="00A56C37">
        <w:rPr>
          <w:color w:val="0A0F0A"/>
          <w:sz w:val="22"/>
          <w:szCs w:val="22"/>
          <w:lang w:val="de-DE"/>
        </w:rPr>
        <w:br/>
      </w:r>
      <w:r w:rsidRPr="00A56C37">
        <w:rPr>
          <w:sz w:val="22"/>
          <w:szCs w:val="22"/>
          <w:lang w:val="de-DE"/>
        </w:rPr>
        <w:t>So wurde im vierten Quartal ein operatives EBIT von 46,5 Mio. € (Vj.: 32,0 Mio. €) und ein stark positiver Free Cashflow erreicht. Für das Gesamtjahr ergab sich dadurch ein positiver Free Cashflow, obwohl er in den ersten neun Monaten noch mit -35,8 Mio. € negativ ausgefallen war.</w:t>
      </w:r>
    </w:p>
    <w:p w14:paraId="52FFE41E" w14:textId="77777777" w:rsidR="00A56C37" w:rsidRPr="00A56C37" w:rsidRDefault="00A56C37" w:rsidP="00A56C37">
      <w:pPr>
        <w:tabs>
          <w:tab w:val="left" w:pos="850"/>
        </w:tabs>
        <w:rPr>
          <w:color w:val="0000FF"/>
          <w:sz w:val="22"/>
          <w:szCs w:val="22"/>
          <w:lang w:val="de-DE"/>
        </w:rPr>
      </w:pPr>
      <w:r w:rsidRPr="00A56C37">
        <w:rPr>
          <w:sz w:val="22"/>
          <w:szCs w:val="22"/>
          <w:lang w:val="de-DE"/>
        </w:rPr>
        <w:t xml:space="preserve">Für das Gesamtjahr 2024 wurde wie prognostiziert bei einem Umsatz von 1.274,4 Mio. € ein operatives EBIT, bereinigt um Sondereinflüsse für das Fokusprogramm “Spotlight” und die Kosten für die Leitmesse drupa, von 25,8 Mio. € erzielt. Dazu hat auch im Schlussquartal ein überdurchschnittlicher operativer Ergebnisbeitrag aus dem Segment Special mit 24,0 Mio. € beigetragen, der hauptsächlich aus einem starken Auftragseingang in Q4 2023 resultiert, sowie die Realisierung von Effizienzvorteilen aus “Spotlight“. </w:t>
      </w:r>
    </w:p>
    <w:p w14:paraId="3DDF24F2" w14:textId="77777777" w:rsidR="00A56C37" w:rsidRPr="00A56C37" w:rsidRDefault="00A56C37" w:rsidP="00A56C37">
      <w:pPr>
        <w:tabs>
          <w:tab w:val="left" w:pos="850"/>
        </w:tabs>
        <w:rPr>
          <w:color w:val="0A0F0A"/>
          <w:sz w:val="22"/>
          <w:szCs w:val="22"/>
          <w:lang w:val="de-DE"/>
        </w:rPr>
      </w:pPr>
      <w:r w:rsidRPr="00A56C37">
        <w:rPr>
          <w:color w:val="0A0F0A"/>
          <w:sz w:val="22"/>
          <w:szCs w:val="22"/>
          <w:lang w:val="de-DE"/>
        </w:rPr>
        <w:lastRenderedPageBreak/>
        <w:t xml:space="preserve">Das Segment </w:t>
      </w:r>
      <w:proofErr w:type="spellStart"/>
      <w:r w:rsidRPr="00A56C37">
        <w:rPr>
          <w:color w:val="0A0F0A"/>
          <w:sz w:val="22"/>
          <w:szCs w:val="22"/>
          <w:lang w:val="de-DE"/>
        </w:rPr>
        <w:t>Sheetfed</w:t>
      </w:r>
      <w:proofErr w:type="spellEnd"/>
      <w:r w:rsidRPr="00A56C37">
        <w:rPr>
          <w:color w:val="0A0F0A"/>
          <w:sz w:val="22"/>
          <w:szCs w:val="22"/>
          <w:lang w:val="de-DE"/>
        </w:rPr>
        <w:t xml:space="preserve"> verzeichnete nach der drupa keinen Nachfragerückgang und erzielte im Schlussquartal einen Auftragseingang von 220,8 Mio. € (+45,5 % YOY), was zugleich das stärkste Quartal des Jahres war. Dies führte auch zu dem hohen Konzern-Auftragseingang von 1.402,7 Mio. € (+8,9 % YOY) im Geschäftsjahr 2024 und erhöhte den Konzern-Auftragsbestand bei einer Book-to-Bill Ratio von 1,10 auf 1.039,8 Mio. € (+14,1 % YOY). Er markiert damit den höchsten Jahresendstand in der jüngsten Geschichte von Koenig &amp; Bauer und dient als starke Ausgangsbasis für das Geschäftsjahr 2025 und darüber hinaus. </w:t>
      </w:r>
    </w:p>
    <w:p w14:paraId="34992DC8" w14:textId="77777777" w:rsidR="00A56C37" w:rsidRPr="00A56C37" w:rsidRDefault="00A56C37" w:rsidP="00A56C37">
      <w:pPr>
        <w:tabs>
          <w:tab w:val="left" w:pos="850"/>
        </w:tabs>
        <w:spacing w:before="240"/>
        <w:rPr>
          <w:sz w:val="22"/>
          <w:szCs w:val="22"/>
          <w:lang w:val="de-DE"/>
        </w:rPr>
      </w:pPr>
      <w:r w:rsidRPr="00A56C37">
        <w:rPr>
          <w:color w:val="0A0F0A"/>
          <w:sz w:val="22"/>
          <w:szCs w:val="22"/>
          <w:lang w:val="de-DE"/>
        </w:rPr>
        <w:t xml:space="preserve">Vorstandsvorsitzender Dr. Andreas </w:t>
      </w:r>
      <w:proofErr w:type="spellStart"/>
      <w:r w:rsidRPr="00A56C37">
        <w:rPr>
          <w:color w:val="0A0F0A"/>
          <w:sz w:val="22"/>
          <w:szCs w:val="22"/>
          <w:lang w:val="de-DE"/>
        </w:rPr>
        <w:t>Pleßke</w:t>
      </w:r>
      <w:proofErr w:type="spellEnd"/>
      <w:r w:rsidRPr="00A56C37">
        <w:rPr>
          <w:color w:val="0A0F0A"/>
          <w:sz w:val="22"/>
          <w:szCs w:val="22"/>
          <w:lang w:val="de-DE"/>
        </w:rPr>
        <w:t xml:space="preserve"> fasst zusammen: „Die Erreichung unserer Ziele </w:t>
      </w:r>
      <w:r w:rsidRPr="00A56C37">
        <w:rPr>
          <w:sz w:val="22"/>
          <w:szCs w:val="22"/>
          <w:lang w:val="de-DE"/>
        </w:rPr>
        <w:t xml:space="preserve">belegt die Leistungsfähigkeit und Flexibilität unseres Unternehmens und unterstreicht unsere operative Widerstandsfähigkeit sowie den Erfolg </w:t>
      </w:r>
      <w:proofErr w:type="gramStart"/>
      <w:r w:rsidRPr="00A56C37">
        <w:rPr>
          <w:sz w:val="22"/>
          <w:szCs w:val="22"/>
          <w:lang w:val="de-DE"/>
        </w:rPr>
        <w:t>unserer “Spotlight</w:t>
      </w:r>
      <w:proofErr w:type="gramEnd"/>
      <w:r w:rsidRPr="00A56C37">
        <w:rPr>
          <w:sz w:val="22"/>
          <w:szCs w:val="22"/>
          <w:lang w:val="de-DE"/>
        </w:rPr>
        <w:t>”-Maßnahmen. Und ergänzt: Wir haben die drupa genutzt, um unsere Innovationskraft zu demonstrieren und den Austausch mit unseren Kunden zu intensivieren. Doch Investitionszurückhaltungen, geopolitische Spannungen und Handelskonflikte stellen weiterhin Herausforderungen dar. Da zahlt es sich aus, dass wir in weniger volatilen Endmärkten des Verpackungsmarkts unterwegs sind. Verpackungen aller Art werden immer gebraucht, besonders im Lebensmittel-, Pharma-, Getränke- und Konsumgütermarkt”.</w:t>
      </w:r>
    </w:p>
    <w:p w14:paraId="737E31A3" w14:textId="77777777" w:rsidR="00A56C37" w:rsidRPr="00A56C37" w:rsidRDefault="00A56C37" w:rsidP="00A56C37">
      <w:pPr>
        <w:tabs>
          <w:tab w:val="left" w:pos="850"/>
        </w:tabs>
        <w:rPr>
          <w:color w:val="0A0F0A"/>
          <w:sz w:val="22"/>
          <w:szCs w:val="22"/>
          <w:lang w:val="de-DE"/>
        </w:rPr>
      </w:pPr>
      <w:r w:rsidRPr="00A56C37">
        <w:rPr>
          <w:b/>
          <w:color w:val="002355"/>
          <w:sz w:val="22"/>
          <w:szCs w:val="22"/>
          <w:lang w:val="de-DE"/>
        </w:rPr>
        <w:t>Konsequente Umsetzung des Fokusprogramm “Spotlight” im drupa Jahr</w:t>
      </w:r>
      <w:r w:rsidRPr="00A56C37">
        <w:rPr>
          <w:color w:val="0A0F0A"/>
          <w:sz w:val="22"/>
          <w:szCs w:val="22"/>
          <w:lang w:val="de-DE"/>
        </w:rPr>
        <w:br/>
        <w:t xml:space="preserve">Neben den Kosten für die Weltleitmesse drupa </w:t>
      </w:r>
      <w:proofErr w:type="spellStart"/>
      <w:r w:rsidRPr="00A56C37">
        <w:rPr>
          <w:color w:val="0A0F0A"/>
          <w:sz w:val="22"/>
          <w:szCs w:val="22"/>
          <w:lang w:val="de-DE"/>
        </w:rPr>
        <w:t>i.H.v</w:t>
      </w:r>
      <w:proofErr w:type="spellEnd"/>
      <w:r w:rsidRPr="00A56C37">
        <w:rPr>
          <w:color w:val="0A0F0A"/>
          <w:sz w:val="22"/>
          <w:szCs w:val="22"/>
          <w:lang w:val="de-DE"/>
        </w:rPr>
        <w:t xml:space="preserve">. 10,5 Mio. € sind Sondereinflüsse für das Fokusprogramm “Spotlight” </w:t>
      </w:r>
      <w:proofErr w:type="spellStart"/>
      <w:r w:rsidRPr="00A56C37">
        <w:rPr>
          <w:color w:val="0A0F0A"/>
          <w:sz w:val="22"/>
          <w:szCs w:val="22"/>
          <w:lang w:val="de-DE"/>
        </w:rPr>
        <w:t>i.H.v</w:t>
      </w:r>
      <w:proofErr w:type="spellEnd"/>
      <w:r w:rsidRPr="00A56C37">
        <w:rPr>
          <w:color w:val="0A0F0A"/>
          <w:sz w:val="22"/>
          <w:szCs w:val="22"/>
          <w:lang w:val="de-DE"/>
        </w:rPr>
        <w:t xml:space="preserve">. 50,4 Mio. € in 2024 angefallen, die das Konzern-EBIT belasten, aber gleichzeitig das Fundament für ein profitables Wachstum in den kommenden Jahren legen. </w:t>
      </w:r>
      <w:r w:rsidRPr="00A56C37">
        <w:rPr>
          <w:color w:val="0000FF"/>
          <w:sz w:val="22"/>
          <w:szCs w:val="22"/>
          <w:lang w:val="de-DE"/>
        </w:rPr>
        <w:br/>
      </w:r>
      <w:r w:rsidRPr="00A56C37">
        <w:rPr>
          <w:color w:val="0A0F0A"/>
          <w:sz w:val="22"/>
          <w:szCs w:val="22"/>
          <w:lang w:val="de-DE"/>
        </w:rPr>
        <w:br/>
        <w:t xml:space="preserve">Damit sind die Sondereinflüsse für das “Spotlight”-Programm bereits über dem angestrebten oberen Ende des Korridors von 30-45 Mio. € ausgefallen, </w:t>
      </w:r>
      <w:r w:rsidRPr="00A56C37">
        <w:rPr>
          <w:sz w:val="22"/>
          <w:szCs w:val="22"/>
          <w:lang w:val="de-DE"/>
        </w:rPr>
        <w:t>infolgedessen lag das Konzern-EBIT bei -35,1 Mio. €. Die Sondereinflüsse bein</w:t>
      </w:r>
      <w:r w:rsidRPr="00A56C37">
        <w:rPr>
          <w:color w:val="0A0F0A"/>
          <w:sz w:val="22"/>
          <w:szCs w:val="22"/>
          <w:lang w:val="de-DE"/>
        </w:rPr>
        <w:t>halten im Wesentlichen Kosten für Sach- und Personalkostenanpassungen innerhalb der bereits kommunizierten Projekte “</w:t>
      </w:r>
      <w:proofErr w:type="spellStart"/>
      <w:r w:rsidRPr="00A56C37">
        <w:rPr>
          <w:color w:val="0A0F0A"/>
          <w:sz w:val="22"/>
          <w:szCs w:val="22"/>
          <w:lang w:val="de-DE"/>
        </w:rPr>
        <w:t>BNSx</w:t>
      </w:r>
      <w:proofErr w:type="spellEnd"/>
      <w:r w:rsidRPr="00A56C37">
        <w:rPr>
          <w:color w:val="0A0F0A"/>
          <w:sz w:val="22"/>
          <w:szCs w:val="22"/>
          <w:lang w:val="de-DE"/>
        </w:rPr>
        <w:t xml:space="preserve">” zur Steigerung der Profitabilität im Banknotengeschäft und im Projekt “D&amp;W 2.0” um die anhaltende Verlustsituation in Digital &amp; </w:t>
      </w:r>
      <w:proofErr w:type="spellStart"/>
      <w:r w:rsidRPr="00A56C37">
        <w:rPr>
          <w:color w:val="0A0F0A"/>
          <w:sz w:val="22"/>
          <w:szCs w:val="22"/>
          <w:lang w:val="de-DE"/>
        </w:rPr>
        <w:t>Webfed</w:t>
      </w:r>
      <w:proofErr w:type="spellEnd"/>
      <w:r w:rsidRPr="00A56C37">
        <w:rPr>
          <w:color w:val="0A0F0A"/>
          <w:sz w:val="22"/>
          <w:szCs w:val="22"/>
          <w:lang w:val="de-DE"/>
        </w:rPr>
        <w:t xml:space="preserve"> zu beenden, sowie die Verschlankung der Holdingstrukturen. </w:t>
      </w:r>
    </w:p>
    <w:p w14:paraId="4B432E34" w14:textId="32370BB3" w:rsidR="00A56C37" w:rsidRPr="00A56C37" w:rsidRDefault="00A56C37" w:rsidP="00A56C37">
      <w:pPr>
        <w:tabs>
          <w:tab w:val="left" w:pos="850"/>
        </w:tabs>
        <w:rPr>
          <w:sz w:val="22"/>
          <w:szCs w:val="22"/>
          <w:lang w:val="de-DE"/>
        </w:rPr>
      </w:pPr>
      <w:r w:rsidRPr="00A56C37">
        <w:rPr>
          <w:color w:val="0A0F0A"/>
          <w:sz w:val="22"/>
          <w:szCs w:val="22"/>
          <w:lang w:val="de-DE"/>
        </w:rPr>
        <w:t xml:space="preserve">Im Zuge der kontinuierlichen Umsetzung des "Spotlight"-Programms wurden bei der Koenig &amp; Bauer </w:t>
      </w:r>
      <w:proofErr w:type="spellStart"/>
      <w:r w:rsidRPr="00A56C37">
        <w:rPr>
          <w:color w:val="0A0F0A"/>
          <w:sz w:val="22"/>
          <w:szCs w:val="22"/>
          <w:lang w:val="de-DE"/>
        </w:rPr>
        <w:t>MetalPrint</w:t>
      </w:r>
      <w:proofErr w:type="spellEnd"/>
      <w:r w:rsidRPr="00A56C37">
        <w:rPr>
          <w:color w:val="0A0F0A"/>
          <w:sz w:val="22"/>
          <w:szCs w:val="22"/>
          <w:lang w:val="de-DE"/>
        </w:rPr>
        <w:t xml:space="preserve"> GmbH zusätzliche Handlungsbedarfe und weitere Potenziale identifiziert. Im Projekt “</w:t>
      </w:r>
      <w:proofErr w:type="spellStart"/>
      <w:r w:rsidRPr="00A56C37">
        <w:rPr>
          <w:color w:val="0A0F0A"/>
          <w:sz w:val="22"/>
          <w:szCs w:val="22"/>
          <w:lang w:val="de-DE"/>
        </w:rPr>
        <w:t>Metal</w:t>
      </w:r>
      <w:proofErr w:type="spellEnd"/>
      <w:r w:rsidRPr="00A56C37">
        <w:rPr>
          <w:color w:val="0A0F0A"/>
          <w:sz w:val="22"/>
          <w:szCs w:val="22"/>
          <w:lang w:val="de-DE"/>
        </w:rPr>
        <w:t xml:space="preserve"> 2.0” wurde vom Vorstand neben den bereits vereinbarten Personal- und Sachkostenanpassungen beschlossen, das CS-</w:t>
      </w:r>
      <w:proofErr w:type="spellStart"/>
      <w:r w:rsidRPr="00A56C37">
        <w:rPr>
          <w:color w:val="0A0F0A"/>
          <w:sz w:val="22"/>
          <w:szCs w:val="22"/>
          <w:lang w:val="de-DE"/>
        </w:rPr>
        <w:t>MetalCan</w:t>
      </w:r>
      <w:proofErr w:type="spellEnd"/>
      <w:r w:rsidRPr="00A56C37">
        <w:rPr>
          <w:color w:val="0A0F0A"/>
          <w:sz w:val="22"/>
          <w:szCs w:val="22"/>
          <w:lang w:val="de-DE"/>
        </w:rPr>
        <w:t xml:space="preserve"> Projekt für den 2-teiligen Getränkedosendruck einzustellen. Das 2012 gestartete und 2017 öffentlich angekündigte Projekt hat bis Ende 2024 die Entwicklungsziele und avisierten Marktpotenziale nicht erreicht. Dies führte zu der oben genannten Abweichung von ca. 5,4 Mio. €. </w:t>
      </w:r>
      <w:proofErr w:type="spellStart"/>
      <w:r w:rsidRPr="00A56C37">
        <w:rPr>
          <w:color w:val="0A0F0A"/>
          <w:sz w:val="22"/>
          <w:szCs w:val="22"/>
          <w:lang w:val="de-DE"/>
        </w:rPr>
        <w:t>MetalPrint</w:t>
      </w:r>
      <w:proofErr w:type="spellEnd"/>
      <w:r w:rsidRPr="00A56C37">
        <w:rPr>
          <w:color w:val="0A0F0A"/>
          <w:sz w:val="22"/>
          <w:szCs w:val="22"/>
          <w:lang w:val="de-DE"/>
        </w:rPr>
        <w:t xml:space="preserve"> wird sich künftig neben seiner marktführenden Position in Offset-Druckmaschinen und Lackierlinien für den Metalldruckmarkt auf das Wachstumsfeld Digitaldruck konzentrieren. </w:t>
      </w:r>
      <w:r w:rsidRPr="00A56C37">
        <w:rPr>
          <w:color w:val="0A0F0A"/>
          <w:sz w:val="22"/>
          <w:szCs w:val="22"/>
          <w:lang w:val="de-DE"/>
        </w:rPr>
        <w:br/>
      </w:r>
      <w:r w:rsidRPr="00A56C37">
        <w:rPr>
          <w:color w:val="0A0F0A"/>
          <w:sz w:val="22"/>
          <w:szCs w:val="22"/>
          <w:lang w:val="de-DE"/>
        </w:rPr>
        <w:br/>
        <w:t xml:space="preserve">Im Zuge der finalen Umsetzung aller Maßnahmen aus dem Fokusprogramm “Spotlight” werden im ersten Halbjahr 2025 weitere Aufwendungen im niedrigen einstelligen Mio. € Bereich erwartet, um das Projekt abzuschließen und die nachhaltige Ertragssteigerung im </w:t>
      </w:r>
      <w:r w:rsidRPr="00A56C37">
        <w:rPr>
          <w:color w:val="0A0F0A"/>
          <w:sz w:val="22"/>
          <w:szCs w:val="22"/>
          <w:lang w:val="de-DE"/>
        </w:rPr>
        <w:lastRenderedPageBreak/>
        <w:t>Konzern voranzutreiben.</w:t>
      </w:r>
      <w:r w:rsidRPr="00A56C37">
        <w:rPr>
          <w:color w:val="0A0F0A"/>
          <w:sz w:val="22"/>
          <w:szCs w:val="22"/>
          <w:lang w:val="de-DE"/>
        </w:rPr>
        <w:br/>
      </w:r>
      <w:r w:rsidRPr="00A56C37">
        <w:rPr>
          <w:color w:val="0A0F0A"/>
          <w:sz w:val="22"/>
          <w:szCs w:val="22"/>
          <w:lang w:val="de-DE"/>
        </w:rPr>
        <w:br/>
        <w:t xml:space="preserve">Dr. Stephen Kimmich, CFO und </w:t>
      </w:r>
      <w:proofErr w:type="spellStart"/>
      <w:r w:rsidRPr="00A56C37">
        <w:rPr>
          <w:color w:val="0A0F0A"/>
          <w:sz w:val="22"/>
          <w:szCs w:val="22"/>
          <w:lang w:val="de-DE"/>
        </w:rPr>
        <w:t>Deputy</w:t>
      </w:r>
      <w:proofErr w:type="spellEnd"/>
      <w:r w:rsidRPr="00A56C37">
        <w:rPr>
          <w:color w:val="0A0F0A"/>
          <w:sz w:val="22"/>
          <w:szCs w:val="22"/>
          <w:lang w:val="de-DE"/>
        </w:rPr>
        <w:t xml:space="preserve"> CEO ergänzt: „Unser Fokus liegt darauf, in jedem Bereich profitabel zu sein. Wir bauen keine Maschinen um der Maschinen willen – was nicht den gewünschten Erfolg erzielt,</w:t>
      </w:r>
      <w:r w:rsidR="005B7105">
        <w:rPr>
          <w:color w:val="0A0F0A"/>
          <w:sz w:val="22"/>
          <w:szCs w:val="22"/>
          <w:lang w:val="de-DE"/>
        </w:rPr>
        <w:t xml:space="preserve"> stellen wir konsequent ein.” </w:t>
      </w:r>
      <w:r w:rsidR="005B7105">
        <w:rPr>
          <w:color w:val="0A0F0A"/>
          <w:sz w:val="22"/>
          <w:szCs w:val="22"/>
          <w:lang w:val="de-DE"/>
        </w:rPr>
        <w:br/>
      </w:r>
      <w:r w:rsidRPr="00A56C37">
        <w:rPr>
          <w:color w:val="0A0F0A"/>
          <w:sz w:val="22"/>
          <w:szCs w:val="22"/>
          <w:lang w:val="de-DE"/>
        </w:rPr>
        <w:br/>
      </w:r>
      <w:r w:rsidRPr="00A56C37">
        <w:rPr>
          <w:b/>
          <w:color w:val="002355"/>
          <w:sz w:val="22"/>
          <w:szCs w:val="22"/>
          <w:lang w:val="de-DE"/>
        </w:rPr>
        <w:t>Gemischte Geschäftsentwicklung in den Segmenten</w:t>
      </w:r>
      <w:r w:rsidRPr="00A56C37">
        <w:rPr>
          <w:b/>
          <w:color w:val="002355"/>
          <w:sz w:val="22"/>
          <w:szCs w:val="22"/>
          <w:lang w:val="de-DE"/>
        </w:rPr>
        <w:br/>
      </w:r>
      <w:r w:rsidRPr="00A56C37">
        <w:rPr>
          <w:sz w:val="22"/>
          <w:szCs w:val="22"/>
          <w:lang w:val="de-DE"/>
        </w:rPr>
        <w:t xml:space="preserve">Der Auftragseingang im </w:t>
      </w:r>
      <w:r w:rsidRPr="00A56C37">
        <w:rPr>
          <w:b/>
          <w:sz w:val="22"/>
          <w:szCs w:val="22"/>
          <w:lang w:val="de-DE"/>
        </w:rPr>
        <w:t xml:space="preserve">Segment </w:t>
      </w:r>
      <w:proofErr w:type="spellStart"/>
      <w:r w:rsidRPr="00A56C37">
        <w:rPr>
          <w:b/>
          <w:sz w:val="22"/>
          <w:szCs w:val="22"/>
          <w:lang w:val="de-DE"/>
        </w:rPr>
        <w:t>Sheetfed</w:t>
      </w:r>
      <w:proofErr w:type="spellEnd"/>
      <w:r w:rsidRPr="00A56C37">
        <w:rPr>
          <w:sz w:val="22"/>
          <w:szCs w:val="22"/>
          <w:lang w:val="de-DE"/>
        </w:rPr>
        <w:t xml:space="preserve"> stieg im drupa-Jahr um 20,8 % auf 732,5 Mio. €. Maßgeblich hierfür war ein starkes Schlussquartal, das entgegen der Erwartungen nach der drupa keinen Nachfragerückgang verzeichnete und mit 220,8 Mio. € sogar das stärkste Quartal des Jahres (+45,5 % YOY) darstellte. Die zeitverzögerte Wirkung der verhältnismäßig schwachen Auftragslage in Q3 2023 führte hauptsächlich zu einem Umsatzrückgang um 5,8 % auf 734,8 Mio. €. Sequentiell verbesserten sich die Umsätze jedoch von Quartal zu Quartal, so dass in Q4 ein Umsatz von 268,4 Mio. € (+8,1 % YOY) erzielt wurde. Bei einer Book-to-Bill-Ratio von 1,0 (Vj.: 0,78) reduzierte sich der Auftragsbestand mit 407,0 Mio. €</w:t>
      </w:r>
      <w:r w:rsidR="005B7105">
        <w:rPr>
          <w:sz w:val="22"/>
          <w:szCs w:val="22"/>
          <w:lang w:val="de-DE"/>
        </w:rPr>
        <w:t xml:space="preserve"> </w:t>
      </w:r>
      <w:r w:rsidRPr="00A56C37">
        <w:rPr>
          <w:sz w:val="22"/>
          <w:szCs w:val="22"/>
          <w:lang w:val="de-DE"/>
        </w:rPr>
        <w:t>auf Vorjahresniveau. Das operative EBIT bereinigt um</w:t>
      </w:r>
      <w:r w:rsidR="005B7105">
        <w:rPr>
          <w:sz w:val="22"/>
          <w:szCs w:val="22"/>
          <w:lang w:val="de-DE"/>
        </w:rPr>
        <w:t xml:space="preserve"> </w:t>
      </w:r>
      <w:r w:rsidRPr="00A56C37">
        <w:rPr>
          <w:sz w:val="22"/>
          <w:szCs w:val="22"/>
          <w:lang w:val="de-DE"/>
        </w:rPr>
        <w:t>drupa lag bei 24,3 Mio. €, was einer operativen EBIT-Marge bereinigt um drupa von 3,3 % entspricht.</w:t>
      </w:r>
      <w:r w:rsidRPr="00A56C37">
        <w:rPr>
          <w:sz w:val="22"/>
          <w:szCs w:val="22"/>
          <w:lang w:val="de-DE"/>
        </w:rPr>
        <w:br/>
      </w:r>
      <w:r w:rsidRPr="00A56C37">
        <w:rPr>
          <w:sz w:val="22"/>
          <w:szCs w:val="22"/>
          <w:lang w:val="de-DE"/>
        </w:rPr>
        <w:br/>
        <w:t xml:space="preserve">Das Segment </w:t>
      </w:r>
      <w:r w:rsidRPr="00A56C37">
        <w:rPr>
          <w:b/>
          <w:sz w:val="22"/>
          <w:szCs w:val="22"/>
          <w:lang w:val="de-DE"/>
        </w:rPr>
        <w:t xml:space="preserve">Digital &amp; </w:t>
      </w:r>
      <w:proofErr w:type="spellStart"/>
      <w:r w:rsidRPr="00A56C37">
        <w:rPr>
          <w:b/>
          <w:sz w:val="22"/>
          <w:szCs w:val="22"/>
          <w:lang w:val="de-DE"/>
        </w:rPr>
        <w:t>Webfed</w:t>
      </w:r>
      <w:proofErr w:type="spellEnd"/>
      <w:r w:rsidRPr="00A56C37">
        <w:rPr>
          <w:sz w:val="22"/>
          <w:szCs w:val="22"/>
          <w:lang w:val="de-DE"/>
        </w:rPr>
        <w:t xml:space="preserve"> konnte sich in 2024 noch nicht gänzlich von der temporären Schwäche des Marktes für Wellpappe erholen. Mit einem starken Schlussquartal wurde eine weitere sequenzielle Verbesserung erzielt, in Summe blieb der Auftragseingang mit 160,6 Mio. € um 10,7 % unter dem Vorjahreswert zurück. Der Umsatz reduzierte sich zum Geschäftsjahresende um 8,4 % auf 157,8 Mio. €. Grund dafür ist eine außergewöhnlich hohe Umsatzspitze im vierten Quartal des Vorjahres. Das Unternehmen hat sich auch mit Maßnahmen im Fokusprogramm “Spotlight” auf einen geringeren Umsatz eingestellt. Bei einer auf Vorjahresniveau liegenden Book-to-Bill-Ratio von 1,02 (Vj.: 1,04) erhöhte sich der Auftragsbestand leicht gegenüber dem Vorjahr auf 122,6 Mio. €. Das operative EBIT bereinigt um drupa lag bei -25,5 Mio. €, was einer operativen EBIT-Marge bereinigt um</w:t>
      </w:r>
      <w:r w:rsidR="005B7105">
        <w:rPr>
          <w:sz w:val="22"/>
          <w:szCs w:val="22"/>
          <w:lang w:val="de-DE"/>
        </w:rPr>
        <w:t xml:space="preserve"> </w:t>
      </w:r>
      <w:r w:rsidRPr="00A56C37">
        <w:rPr>
          <w:sz w:val="22"/>
          <w:szCs w:val="22"/>
          <w:lang w:val="de-DE"/>
        </w:rPr>
        <w:t>drupa von -16,2 % entspricht.</w:t>
      </w:r>
    </w:p>
    <w:p w14:paraId="6B50619F" w14:textId="77777777" w:rsidR="00A56C37" w:rsidRPr="00A56C37" w:rsidRDefault="00A56C37" w:rsidP="00A56C37">
      <w:pPr>
        <w:widowControl w:val="0"/>
        <w:spacing w:before="34" w:after="0" w:line="272" w:lineRule="auto"/>
        <w:rPr>
          <w:color w:val="0A0F0A"/>
          <w:sz w:val="22"/>
          <w:szCs w:val="22"/>
          <w:lang w:val="de-DE"/>
        </w:rPr>
      </w:pPr>
      <w:r w:rsidRPr="00A56C37">
        <w:rPr>
          <w:sz w:val="22"/>
          <w:szCs w:val="22"/>
          <w:lang w:val="de-DE"/>
        </w:rPr>
        <w:t xml:space="preserve">Das </w:t>
      </w:r>
      <w:r w:rsidRPr="00A56C37">
        <w:rPr>
          <w:b/>
          <w:sz w:val="22"/>
          <w:szCs w:val="22"/>
          <w:lang w:val="de-DE"/>
        </w:rPr>
        <w:t>Segment Special</w:t>
      </w:r>
      <w:r w:rsidRPr="00A56C37">
        <w:rPr>
          <w:sz w:val="22"/>
          <w:szCs w:val="22"/>
          <w:lang w:val="de-DE"/>
        </w:rPr>
        <w:t xml:space="preserve"> konnte auf einem hohen </w:t>
      </w:r>
      <w:r w:rsidRPr="005B7105">
        <w:rPr>
          <w:sz w:val="22"/>
          <w:szCs w:val="22"/>
          <w:lang w:val="de-DE"/>
        </w:rPr>
        <w:t>Vorjahresniveau den Auftragseingang um</w:t>
      </w:r>
      <w:r w:rsidRPr="00A56C37">
        <w:rPr>
          <w:sz w:val="22"/>
          <w:szCs w:val="22"/>
          <w:lang w:val="de-DE"/>
        </w:rPr>
        <w:t xml:space="preserve"> 0,6 % auf 541,9 Mio. € steigern. Die Bestellungen bei </w:t>
      </w:r>
      <w:proofErr w:type="spellStart"/>
      <w:r w:rsidRPr="00A56C37">
        <w:rPr>
          <w:sz w:val="22"/>
          <w:szCs w:val="22"/>
          <w:lang w:val="de-DE"/>
        </w:rPr>
        <w:t>Coding</w:t>
      </w:r>
      <w:proofErr w:type="spellEnd"/>
      <w:r w:rsidRPr="00A56C37">
        <w:rPr>
          <w:sz w:val="22"/>
          <w:szCs w:val="22"/>
          <w:lang w:val="de-DE"/>
        </w:rPr>
        <w:t xml:space="preserve"> und Kammann lagen unterhalb des Vorjahreswertes. Dagegen ist der Auftragseingang bei </w:t>
      </w:r>
      <w:proofErr w:type="spellStart"/>
      <w:r w:rsidRPr="00A56C37">
        <w:rPr>
          <w:sz w:val="22"/>
          <w:szCs w:val="22"/>
          <w:lang w:val="de-DE"/>
        </w:rPr>
        <w:t>MetalPrint</w:t>
      </w:r>
      <w:proofErr w:type="spellEnd"/>
      <w:r w:rsidRPr="00A56C37">
        <w:rPr>
          <w:sz w:val="22"/>
          <w:szCs w:val="22"/>
          <w:lang w:val="de-DE"/>
        </w:rPr>
        <w:t xml:space="preserve"> gestiegen. Bei der Banknote Solutions lag der Auftragseingang auf dem erfreulich hohen Niveau des Vorjahres, der erneut Tender vom Bureau </w:t>
      </w:r>
      <w:proofErr w:type="spellStart"/>
      <w:r w:rsidRPr="00A56C37">
        <w:rPr>
          <w:sz w:val="22"/>
          <w:szCs w:val="22"/>
          <w:lang w:val="de-DE"/>
        </w:rPr>
        <w:t>of</w:t>
      </w:r>
      <w:proofErr w:type="spellEnd"/>
      <w:r w:rsidRPr="00A56C37">
        <w:rPr>
          <w:sz w:val="22"/>
          <w:szCs w:val="22"/>
          <w:lang w:val="de-DE"/>
        </w:rPr>
        <w:t xml:space="preserve"> </w:t>
      </w:r>
      <w:proofErr w:type="spellStart"/>
      <w:r w:rsidRPr="00A56C37">
        <w:rPr>
          <w:sz w:val="22"/>
          <w:szCs w:val="22"/>
          <w:lang w:val="de-DE"/>
        </w:rPr>
        <w:t>Engraving</w:t>
      </w:r>
      <w:proofErr w:type="spellEnd"/>
      <w:r w:rsidRPr="00A56C37">
        <w:rPr>
          <w:sz w:val="22"/>
          <w:szCs w:val="22"/>
          <w:lang w:val="de-DE"/>
        </w:rPr>
        <w:t xml:space="preserve"> </w:t>
      </w:r>
      <w:proofErr w:type="spellStart"/>
      <w:r w:rsidRPr="00A56C37">
        <w:rPr>
          <w:sz w:val="22"/>
          <w:szCs w:val="22"/>
          <w:lang w:val="de-DE"/>
        </w:rPr>
        <w:t>and</w:t>
      </w:r>
      <w:proofErr w:type="spellEnd"/>
      <w:r w:rsidRPr="00A56C37">
        <w:rPr>
          <w:sz w:val="22"/>
          <w:szCs w:val="22"/>
          <w:lang w:val="de-DE"/>
        </w:rPr>
        <w:t xml:space="preserve"> </w:t>
      </w:r>
      <w:proofErr w:type="spellStart"/>
      <w:r w:rsidRPr="00A56C37">
        <w:rPr>
          <w:sz w:val="22"/>
          <w:szCs w:val="22"/>
          <w:lang w:val="de-DE"/>
        </w:rPr>
        <w:t>Printing</w:t>
      </w:r>
      <w:proofErr w:type="spellEnd"/>
      <w:r w:rsidRPr="00A56C37">
        <w:rPr>
          <w:sz w:val="22"/>
          <w:szCs w:val="22"/>
          <w:lang w:val="de-DE"/>
        </w:rPr>
        <w:t xml:space="preserve"> (BEP) enthielt. Der Umsatz reduzierte sich leicht um 2,0 % auf 405,6 Mio. €. Ursächlich hierfür war ein lieferbedingter geringerer </w:t>
      </w:r>
      <w:proofErr w:type="spellStart"/>
      <w:r w:rsidRPr="00A56C37">
        <w:rPr>
          <w:sz w:val="22"/>
          <w:szCs w:val="22"/>
          <w:lang w:val="de-DE"/>
        </w:rPr>
        <w:t>Percentage-of-Completion</w:t>
      </w:r>
      <w:proofErr w:type="spellEnd"/>
      <w:r w:rsidRPr="00A56C37">
        <w:rPr>
          <w:sz w:val="22"/>
          <w:szCs w:val="22"/>
          <w:lang w:val="de-DE"/>
        </w:rPr>
        <w:t xml:space="preserve"> (POC)-Leistungsfortschritt als im Vorjahr in der Geschäftseinheit Banknote Solutions. Bei einer auf Vorjahresniveau liegenden Book-to-Bill-Ratio von 1,33 (Vj.: 1,30) erhöhte sich der Auftragsbestand um 35,5 % auf 513,0 Mio. €, der sich auf mehrere Jahre verteilt. Das operative EBIT bereinigt um drupa lag bei 10,7 Mio. €, was einer operativen EBIT-Marge bereinigt um drupa von 2,6 % entspricht.</w:t>
      </w:r>
      <w:r w:rsidRPr="00A56C37">
        <w:rPr>
          <w:b/>
          <w:color w:val="002355"/>
          <w:sz w:val="22"/>
          <w:szCs w:val="22"/>
          <w:lang w:val="de-DE"/>
        </w:rPr>
        <w:br/>
      </w:r>
      <w:r w:rsidRPr="00A56C37">
        <w:rPr>
          <w:color w:val="0A0F0A"/>
          <w:sz w:val="22"/>
          <w:szCs w:val="22"/>
          <w:lang w:val="de-DE"/>
        </w:rPr>
        <w:br/>
      </w:r>
      <w:r w:rsidRPr="00A56C37">
        <w:rPr>
          <w:b/>
          <w:color w:val="002355"/>
          <w:sz w:val="22"/>
          <w:szCs w:val="22"/>
          <w:lang w:val="de-DE"/>
        </w:rPr>
        <w:t>Ausblick 2025: Höhere Profitabilität bei einer leicht steigenden Umsatzentwicklung</w:t>
      </w:r>
      <w:r w:rsidRPr="00A56C37">
        <w:rPr>
          <w:b/>
          <w:sz w:val="22"/>
          <w:szCs w:val="22"/>
          <w:lang w:val="de-DE"/>
        </w:rPr>
        <w:br/>
      </w:r>
      <w:r w:rsidRPr="00A56C37">
        <w:rPr>
          <w:color w:val="0A0F0A"/>
          <w:sz w:val="22"/>
          <w:szCs w:val="22"/>
          <w:lang w:val="de-DE"/>
        </w:rPr>
        <w:t xml:space="preserve">Trotz schwieriger und unsicherer weltwirtschaftlicher und geopolitischer Entwicklungen, sieht </w:t>
      </w:r>
      <w:r w:rsidRPr="00A56C37">
        <w:rPr>
          <w:color w:val="0A0F0A"/>
          <w:sz w:val="22"/>
          <w:szCs w:val="22"/>
          <w:lang w:val="de-DE"/>
        </w:rPr>
        <w:lastRenderedPageBreak/>
        <w:t>sich Koenig &amp; Bauer für das Geschäftsjahr 2025 gut aufgestellt. Dank eines historisch hohen Auftragsbestands und zusätzlicher Einsparungen aus dem Fokusprogramm “Spotlight” erwartet der Vorstand ein leichtes Umsatzwachstum auf 1,3 Mrd. € bei einer Steigerung des operativen EBIT auf einem Korridor zwischen 35 - 50 Mio. €. Innerhalb dieses Korridors ist die Zielerreichung in hohem Maße von den tatsächlichen weltwirtschaftlichen und geopolitischen Entwicklungen in den kommenden Monaten abhängig.</w:t>
      </w:r>
      <w:r w:rsidRPr="00A56C37">
        <w:rPr>
          <w:color w:val="0A0F0A"/>
          <w:sz w:val="22"/>
          <w:szCs w:val="22"/>
          <w:lang w:val="de-DE"/>
        </w:rPr>
        <w:br/>
      </w:r>
    </w:p>
    <w:p w14:paraId="05BDFDB6" w14:textId="77777777" w:rsidR="00A56C37" w:rsidRPr="00A56C37" w:rsidRDefault="00A56C37" w:rsidP="00A56C37">
      <w:pPr>
        <w:pBdr>
          <w:top w:val="nil"/>
          <w:left w:val="nil"/>
          <w:bottom w:val="nil"/>
          <w:right w:val="nil"/>
          <w:between w:val="nil"/>
        </w:pBdr>
        <w:rPr>
          <w:sz w:val="22"/>
          <w:szCs w:val="22"/>
          <w:lang w:val="de-DE"/>
        </w:rPr>
      </w:pPr>
      <w:r w:rsidRPr="00A56C37">
        <w:rPr>
          <w:b/>
          <w:color w:val="002355"/>
          <w:sz w:val="22"/>
          <w:szCs w:val="22"/>
          <w:lang w:val="de-DE"/>
        </w:rPr>
        <w:t>Zielerreichung 2026 in hohem Maße von weltwirtschaftlichen und geopolitischen Entwicklungen abhängig</w:t>
      </w:r>
      <w:r w:rsidRPr="00A56C37">
        <w:rPr>
          <w:b/>
          <w:color w:val="002355"/>
          <w:sz w:val="22"/>
          <w:szCs w:val="22"/>
          <w:lang w:val="de-DE"/>
        </w:rPr>
        <w:br/>
      </w:r>
      <w:r w:rsidRPr="00A56C37">
        <w:rPr>
          <w:color w:val="0A0F0A"/>
          <w:sz w:val="22"/>
          <w:szCs w:val="22"/>
          <w:lang w:val="de-DE"/>
        </w:rPr>
        <w:t>Koenig &amp; Bauer sieht in 2026 einen Konzernumsatz von ca. 1,5 Mrd. € bei einer operativen EBIT-Marge von rund 6 % weiterhin als möglich an. Aufgrund der unsicheren weltwirtschaftlichen und geopolitischen Entwicklungen und der dazugehörigen Planungsunsicherheiten, ist aktuell ein Konzernumsatz zwischen 1,4 und 1,5 Mrd. € bei einer operativen EBIT-Marge zwischen 5 - 6 % geplant.</w:t>
      </w:r>
    </w:p>
    <w:p w14:paraId="21E1B1DC" w14:textId="77777777" w:rsidR="003C765E" w:rsidRDefault="00A56C37" w:rsidP="00A56C37">
      <w:pPr>
        <w:pBdr>
          <w:top w:val="nil"/>
          <w:left w:val="nil"/>
          <w:bottom w:val="nil"/>
          <w:right w:val="nil"/>
          <w:between w:val="nil"/>
        </w:pBdr>
        <w:rPr>
          <w:sz w:val="22"/>
          <w:szCs w:val="22"/>
          <w:lang w:val="de-DE"/>
        </w:rPr>
      </w:pPr>
      <w:r w:rsidRPr="00A56C37">
        <w:rPr>
          <w:color w:val="0A0F0A"/>
          <w:sz w:val="22"/>
          <w:szCs w:val="22"/>
          <w:lang w:val="de-DE"/>
        </w:rPr>
        <w:t xml:space="preserve">Das Unternehmen wird den geprüften Jahresabschluss und den Geschäftsbericht für 2024 am 26. März 2025 veröffentlichen. Am selben Tag wird Koenig &amp; Bauer eine Telefonkonferenz (in englischer Sprache) für Analysten und Investoren abhalten. Die Telefonkonferenz wird anschließend auf der Webseite von Koenig &amp; Bauer abrufbar sein. </w:t>
      </w:r>
      <w:r>
        <w:rPr>
          <w:sz w:val="22"/>
          <w:szCs w:val="22"/>
          <w:lang w:val="de-DE"/>
        </w:rPr>
        <w:br/>
      </w:r>
    </w:p>
    <w:p w14:paraId="6AD3F3FF" w14:textId="37A1338A" w:rsidR="00A56C37" w:rsidRPr="00A56C37" w:rsidRDefault="00A56C37" w:rsidP="00A56C37">
      <w:pPr>
        <w:pBdr>
          <w:top w:val="nil"/>
          <w:left w:val="nil"/>
          <w:bottom w:val="nil"/>
          <w:right w:val="nil"/>
          <w:between w:val="nil"/>
        </w:pBdr>
        <w:rPr>
          <w:sz w:val="22"/>
          <w:szCs w:val="22"/>
          <w:lang w:val="de-DE"/>
        </w:rPr>
      </w:pPr>
      <w:r w:rsidRPr="00A56C37">
        <w:rPr>
          <w:sz w:val="22"/>
          <w:szCs w:val="22"/>
          <w:lang w:val="de-DE"/>
        </w:rPr>
        <w:br/>
        <w:t>Übersicht vorläufige Z</w:t>
      </w:r>
      <w:r w:rsidR="00D06342">
        <w:rPr>
          <w:sz w:val="22"/>
          <w:szCs w:val="22"/>
          <w:lang w:val="de-DE"/>
        </w:rPr>
        <w:t>ahlen für das Geschäftsjahr 2024</w:t>
      </w:r>
      <w:bookmarkStart w:id="3" w:name="_GoBack"/>
      <w:bookmarkEnd w:id="3"/>
    </w:p>
    <w:tbl>
      <w:tblPr>
        <w:tblStyle w:val="Tabellenraster"/>
        <w:tblW w:w="0" w:type="auto"/>
        <w:tblLook w:val="04A0" w:firstRow="1" w:lastRow="0" w:firstColumn="1" w:lastColumn="0" w:noHBand="0" w:noVBand="1"/>
      </w:tblPr>
      <w:tblGrid>
        <w:gridCol w:w="2830"/>
        <w:gridCol w:w="1560"/>
        <w:gridCol w:w="1558"/>
      </w:tblGrid>
      <w:tr w:rsidR="003F2BD4" w:rsidRPr="003F2BD4" w14:paraId="14025E7E" w14:textId="77777777" w:rsidTr="003F2BD4">
        <w:trPr>
          <w:trHeight w:val="315"/>
        </w:trPr>
        <w:tc>
          <w:tcPr>
            <w:tcW w:w="2830" w:type="dxa"/>
            <w:noWrap/>
            <w:hideMark/>
          </w:tcPr>
          <w:p w14:paraId="0E68C83C" w14:textId="77777777" w:rsidR="003F2BD4" w:rsidRPr="003F2BD4" w:rsidRDefault="003F2BD4" w:rsidP="003F2BD4">
            <w:pPr>
              <w:pBdr>
                <w:top w:val="nil"/>
                <w:left w:val="nil"/>
                <w:bottom w:val="nil"/>
                <w:right w:val="nil"/>
                <w:between w:val="nil"/>
              </w:pBdr>
              <w:rPr>
                <w:sz w:val="22"/>
                <w:szCs w:val="22"/>
              </w:rPr>
            </w:pPr>
            <w:r w:rsidRPr="003F2BD4">
              <w:rPr>
                <w:sz w:val="22"/>
                <w:szCs w:val="22"/>
              </w:rPr>
              <w:t>Mio. €</w:t>
            </w:r>
          </w:p>
        </w:tc>
        <w:tc>
          <w:tcPr>
            <w:tcW w:w="1560" w:type="dxa"/>
            <w:noWrap/>
            <w:hideMark/>
          </w:tcPr>
          <w:p w14:paraId="64D65407" w14:textId="77777777" w:rsidR="003F2BD4" w:rsidRPr="003F2BD4" w:rsidRDefault="003F2BD4" w:rsidP="003F2BD4">
            <w:pPr>
              <w:pBdr>
                <w:top w:val="nil"/>
                <w:left w:val="nil"/>
                <w:bottom w:val="nil"/>
                <w:right w:val="nil"/>
                <w:between w:val="nil"/>
              </w:pBdr>
              <w:rPr>
                <w:sz w:val="22"/>
                <w:szCs w:val="22"/>
              </w:rPr>
            </w:pPr>
            <w:r w:rsidRPr="003F2BD4">
              <w:rPr>
                <w:sz w:val="22"/>
                <w:szCs w:val="22"/>
              </w:rPr>
              <w:t>2023</w:t>
            </w:r>
          </w:p>
        </w:tc>
        <w:tc>
          <w:tcPr>
            <w:tcW w:w="1558" w:type="dxa"/>
            <w:noWrap/>
            <w:hideMark/>
          </w:tcPr>
          <w:p w14:paraId="0D626D28" w14:textId="77777777" w:rsidR="003F2BD4" w:rsidRPr="003F2BD4" w:rsidRDefault="003F2BD4" w:rsidP="003F2BD4">
            <w:pPr>
              <w:pBdr>
                <w:top w:val="nil"/>
                <w:left w:val="nil"/>
                <w:bottom w:val="nil"/>
                <w:right w:val="nil"/>
                <w:between w:val="nil"/>
              </w:pBdr>
              <w:rPr>
                <w:sz w:val="22"/>
                <w:szCs w:val="22"/>
              </w:rPr>
            </w:pPr>
            <w:r w:rsidRPr="003F2BD4">
              <w:rPr>
                <w:sz w:val="22"/>
                <w:szCs w:val="22"/>
              </w:rPr>
              <w:t>2024</w:t>
            </w:r>
          </w:p>
        </w:tc>
      </w:tr>
      <w:tr w:rsidR="003F2BD4" w:rsidRPr="003F2BD4" w14:paraId="3D037704" w14:textId="77777777" w:rsidTr="003F2BD4">
        <w:trPr>
          <w:trHeight w:val="315"/>
        </w:trPr>
        <w:tc>
          <w:tcPr>
            <w:tcW w:w="5948" w:type="dxa"/>
            <w:gridSpan w:val="3"/>
            <w:noWrap/>
            <w:hideMark/>
          </w:tcPr>
          <w:p w14:paraId="39EFBBC6" w14:textId="77777777" w:rsidR="003F2BD4" w:rsidRPr="003F2BD4" w:rsidRDefault="003F2BD4" w:rsidP="003F2BD4">
            <w:pPr>
              <w:pBdr>
                <w:top w:val="nil"/>
                <w:left w:val="nil"/>
                <w:bottom w:val="nil"/>
                <w:right w:val="nil"/>
                <w:between w:val="nil"/>
              </w:pBdr>
              <w:rPr>
                <w:b/>
                <w:bCs/>
                <w:sz w:val="22"/>
                <w:szCs w:val="22"/>
              </w:rPr>
            </w:pPr>
            <w:proofErr w:type="spellStart"/>
            <w:r w:rsidRPr="003F2BD4">
              <w:rPr>
                <w:b/>
                <w:bCs/>
                <w:sz w:val="22"/>
                <w:szCs w:val="22"/>
              </w:rPr>
              <w:t>Auftragseingang</w:t>
            </w:r>
            <w:proofErr w:type="spellEnd"/>
            <w:r w:rsidRPr="003F2BD4">
              <w:rPr>
                <w:b/>
                <w:bCs/>
                <w:sz w:val="22"/>
                <w:szCs w:val="22"/>
              </w:rPr>
              <w:t xml:space="preserve"> </w:t>
            </w:r>
          </w:p>
        </w:tc>
      </w:tr>
      <w:tr w:rsidR="003F2BD4" w:rsidRPr="003F2BD4" w14:paraId="0E1B239A" w14:textId="77777777" w:rsidTr="003F2BD4">
        <w:trPr>
          <w:trHeight w:val="315"/>
        </w:trPr>
        <w:tc>
          <w:tcPr>
            <w:tcW w:w="2830" w:type="dxa"/>
            <w:noWrap/>
            <w:hideMark/>
          </w:tcPr>
          <w:p w14:paraId="48F9B75C" w14:textId="77777777" w:rsidR="003F2BD4" w:rsidRPr="003F2BD4" w:rsidRDefault="003F2BD4" w:rsidP="003F2BD4">
            <w:pPr>
              <w:pBdr>
                <w:top w:val="nil"/>
                <w:left w:val="nil"/>
                <w:bottom w:val="nil"/>
                <w:right w:val="nil"/>
                <w:between w:val="nil"/>
              </w:pBdr>
              <w:rPr>
                <w:sz w:val="22"/>
                <w:szCs w:val="22"/>
              </w:rPr>
            </w:pPr>
            <w:proofErr w:type="spellStart"/>
            <w:r w:rsidRPr="003F2BD4">
              <w:rPr>
                <w:sz w:val="22"/>
                <w:szCs w:val="22"/>
              </w:rPr>
              <w:t>Sheetfed</w:t>
            </w:r>
            <w:proofErr w:type="spellEnd"/>
          </w:p>
        </w:tc>
        <w:tc>
          <w:tcPr>
            <w:tcW w:w="1560" w:type="dxa"/>
            <w:noWrap/>
            <w:hideMark/>
          </w:tcPr>
          <w:p w14:paraId="2EFC1545" w14:textId="77777777" w:rsidR="003F2BD4" w:rsidRPr="003F2BD4" w:rsidRDefault="003F2BD4" w:rsidP="003F2BD4">
            <w:pPr>
              <w:pBdr>
                <w:top w:val="nil"/>
                <w:left w:val="nil"/>
                <w:bottom w:val="nil"/>
                <w:right w:val="nil"/>
                <w:between w:val="nil"/>
              </w:pBdr>
              <w:rPr>
                <w:sz w:val="22"/>
                <w:szCs w:val="22"/>
              </w:rPr>
            </w:pPr>
            <w:r w:rsidRPr="003F2BD4">
              <w:rPr>
                <w:sz w:val="22"/>
                <w:szCs w:val="22"/>
              </w:rPr>
              <w:t>606,2</w:t>
            </w:r>
          </w:p>
        </w:tc>
        <w:tc>
          <w:tcPr>
            <w:tcW w:w="1558" w:type="dxa"/>
            <w:noWrap/>
            <w:hideMark/>
          </w:tcPr>
          <w:p w14:paraId="17C8D189" w14:textId="77777777" w:rsidR="003F2BD4" w:rsidRPr="003F2BD4" w:rsidRDefault="003F2BD4" w:rsidP="003F2BD4">
            <w:pPr>
              <w:pBdr>
                <w:top w:val="nil"/>
                <w:left w:val="nil"/>
                <w:bottom w:val="nil"/>
                <w:right w:val="nil"/>
                <w:between w:val="nil"/>
              </w:pBdr>
              <w:rPr>
                <w:sz w:val="22"/>
                <w:szCs w:val="22"/>
              </w:rPr>
            </w:pPr>
            <w:r w:rsidRPr="003F2BD4">
              <w:rPr>
                <w:sz w:val="22"/>
                <w:szCs w:val="22"/>
              </w:rPr>
              <w:t>732,5</w:t>
            </w:r>
          </w:p>
        </w:tc>
      </w:tr>
      <w:tr w:rsidR="003F2BD4" w:rsidRPr="003F2BD4" w14:paraId="061D5A43" w14:textId="77777777" w:rsidTr="003F2BD4">
        <w:trPr>
          <w:trHeight w:val="315"/>
        </w:trPr>
        <w:tc>
          <w:tcPr>
            <w:tcW w:w="2830" w:type="dxa"/>
            <w:noWrap/>
            <w:hideMark/>
          </w:tcPr>
          <w:p w14:paraId="42319294" w14:textId="77777777" w:rsidR="003F2BD4" w:rsidRPr="003F2BD4" w:rsidRDefault="003F2BD4" w:rsidP="003F2BD4">
            <w:pPr>
              <w:pBdr>
                <w:top w:val="nil"/>
                <w:left w:val="nil"/>
                <w:bottom w:val="nil"/>
                <w:right w:val="nil"/>
                <w:between w:val="nil"/>
              </w:pBdr>
              <w:rPr>
                <w:sz w:val="22"/>
                <w:szCs w:val="22"/>
              </w:rPr>
            </w:pPr>
            <w:r w:rsidRPr="003F2BD4">
              <w:rPr>
                <w:sz w:val="22"/>
                <w:szCs w:val="22"/>
              </w:rPr>
              <w:t xml:space="preserve">Digital &amp; </w:t>
            </w:r>
            <w:proofErr w:type="spellStart"/>
            <w:r w:rsidRPr="003F2BD4">
              <w:rPr>
                <w:sz w:val="22"/>
                <w:szCs w:val="22"/>
              </w:rPr>
              <w:t>Webfed</w:t>
            </w:r>
            <w:proofErr w:type="spellEnd"/>
          </w:p>
        </w:tc>
        <w:tc>
          <w:tcPr>
            <w:tcW w:w="1560" w:type="dxa"/>
            <w:noWrap/>
            <w:hideMark/>
          </w:tcPr>
          <w:p w14:paraId="02D1041F" w14:textId="77777777" w:rsidR="003F2BD4" w:rsidRPr="003F2BD4" w:rsidRDefault="003F2BD4" w:rsidP="003F2BD4">
            <w:pPr>
              <w:pBdr>
                <w:top w:val="nil"/>
                <w:left w:val="nil"/>
                <w:bottom w:val="nil"/>
                <w:right w:val="nil"/>
                <w:between w:val="nil"/>
              </w:pBdr>
              <w:rPr>
                <w:sz w:val="22"/>
                <w:szCs w:val="22"/>
              </w:rPr>
            </w:pPr>
            <w:r w:rsidRPr="003F2BD4">
              <w:rPr>
                <w:sz w:val="22"/>
                <w:szCs w:val="22"/>
              </w:rPr>
              <w:t>179,8</w:t>
            </w:r>
          </w:p>
        </w:tc>
        <w:tc>
          <w:tcPr>
            <w:tcW w:w="1558" w:type="dxa"/>
            <w:noWrap/>
            <w:hideMark/>
          </w:tcPr>
          <w:p w14:paraId="2797D043" w14:textId="77777777" w:rsidR="003F2BD4" w:rsidRPr="003F2BD4" w:rsidRDefault="003F2BD4" w:rsidP="003F2BD4">
            <w:pPr>
              <w:pBdr>
                <w:top w:val="nil"/>
                <w:left w:val="nil"/>
                <w:bottom w:val="nil"/>
                <w:right w:val="nil"/>
                <w:between w:val="nil"/>
              </w:pBdr>
              <w:rPr>
                <w:sz w:val="22"/>
                <w:szCs w:val="22"/>
              </w:rPr>
            </w:pPr>
            <w:r w:rsidRPr="003F2BD4">
              <w:rPr>
                <w:sz w:val="22"/>
                <w:szCs w:val="22"/>
              </w:rPr>
              <w:t>160,6</w:t>
            </w:r>
          </w:p>
        </w:tc>
      </w:tr>
      <w:tr w:rsidR="003F2BD4" w:rsidRPr="003F2BD4" w14:paraId="63FFC2E7" w14:textId="77777777" w:rsidTr="003F2BD4">
        <w:trPr>
          <w:trHeight w:val="315"/>
        </w:trPr>
        <w:tc>
          <w:tcPr>
            <w:tcW w:w="2830" w:type="dxa"/>
            <w:noWrap/>
            <w:hideMark/>
          </w:tcPr>
          <w:p w14:paraId="2F1C5E22" w14:textId="77777777" w:rsidR="003F2BD4" w:rsidRPr="003F2BD4" w:rsidRDefault="003F2BD4" w:rsidP="003F2BD4">
            <w:pPr>
              <w:pBdr>
                <w:top w:val="nil"/>
                <w:left w:val="nil"/>
                <w:bottom w:val="nil"/>
                <w:right w:val="nil"/>
                <w:between w:val="nil"/>
              </w:pBdr>
              <w:rPr>
                <w:sz w:val="22"/>
                <w:szCs w:val="22"/>
              </w:rPr>
            </w:pPr>
            <w:r w:rsidRPr="003F2BD4">
              <w:rPr>
                <w:sz w:val="22"/>
                <w:szCs w:val="22"/>
              </w:rPr>
              <w:t>Special</w:t>
            </w:r>
          </w:p>
        </w:tc>
        <w:tc>
          <w:tcPr>
            <w:tcW w:w="1560" w:type="dxa"/>
            <w:noWrap/>
            <w:hideMark/>
          </w:tcPr>
          <w:p w14:paraId="6E54151E" w14:textId="77777777" w:rsidR="003F2BD4" w:rsidRPr="003F2BD4" w:rsidRDefault="003F2BD4" w:rsidP="003F2BD4">
            <w:pPr>
              <w:pBdr>
                <w:top w:val="nil"/>
                <w:left w:val="nil"/>
                <w:bottom w:val="nil"/>
                <w:right w:val="nil"/>
                <w:between w:val="nil"/>
              </w:pBdr>
              <w:rPr>
                <w:sz w:val="22"/>
                <w:szCs w:val="22"/>
              </w:rPr>
            </w:pPr>
            <w:r w:rsidRPr="003F2BD4">
              <w:rPr>
                <w:sz w:val="22"/>
                <w:szCs w:val="22"/>
              </w:rPr>
              <w:t>538,8</w:t>
            </w:r>
          </w:p>
        </w:tc>
        <w:tc>
          <w:tcPr>
            <w:tcW w:w="1558" w:type="dxa"/>
            <w:noWrap/>
            <w:hideMark/>
          </w:tcPr>
          <w:p w14:paraId="2ABB06C7" w14:textId="77777777" w:rsidR="003F2BD4" w:rsidRPr="003F2BD4" w:rsidRDefault="003F2BD4" w:rsidP="003F2BD4">
            <w:pPr>
              <w:pBdr>
                <w:top w:val="nil"/>
                <w:left w:val="nil"/>
                <w:bottom w:val="nil"/>
                <w:right w:val="nil"/>
                <w:between w:val="nil"/>
              </w:pBdr>
              <w:rPr>
                <w:sz w:val="22"/>
                <w:szCs w:val="22"/>
              </w:rPr>
            </w:pPr>
            <w:r w:rsidRPr="003F2BD4">
              <w:rPr>
                <w:sz w:val="22"/>
                <w:szCs w:val="22"/>
              </w:rPr>
              <w:t>541,9</w:t>
            </w:r>
          </w:p>
        </w:tc>
      </w:tr>
      <w:tr w:rsidR="003F2BD4" w:rsidRPr="003F2BD4" w14:paraId="33744611" w14:textId="77777777" w:rsidTr="003F2BD4">
        <w:trPr>
          <w:trHeight w:val="315"/>
        </w:trPr>
        <w:tc>
          <w:tcPr>
            <w:tcW w:w="2830" w:type="dxa"/>
            <w:noWrap/>
            <w:hideMark/>
          </w:tcPr>
          <w:p w14:paraId="65E5041D" w14:textId="77777777" w:rsidR="003F2BD4" w:rsidRPr="003F2BD4" w:rsidRDefault="003F2BD4" w:rsidP="003F2BD4">
            <w:pPr>
              <w:pBdr>
                <w:top w:val="nil"/>
                <w:left w:val="nil"/>
                <w:bottom w:val="nil"/>
                <w:right w:val="nil"/>
                <w:between w:val="nil"/>
              </w:pBdr>
              <w:rPr>
                <w:sz w:val="22"/>
                <w:szCs w:val="22"/>
              </w:rPr>
            </w:pPr>
            <w:proofErr w:type="spellStart"/>
            <w:r w:rsidRPr="003F2BD4">
              <w:rPr>
                <w:sz w:val="22"/>
                <w:szCs w:val="22"/>
              </w:rPr>
              <w:t>Überleitung</w:t>
            </w:r>
            <w:proofErr w:type="spellEnd"/>
          </w:p>
        </w:tc>
        <w:tc>
          <w:tcPr>
            <w:tcW w:w="1560" w:type="dxa"/>
            <w:noWrap/>
            <w:hideMark/>
          </w:tcPr>
          <w:p w14:paraId="1DDBB177" w14:textId="77777777" w:rsidR="003F2BD4" w:rsidRPr="003F2BD4" w:rsidRDefault="003F2BD4" w:rsidP="003F2BD4">
            <w:pPr>
              <w:pBdr>
                <w:top w:val="nil"/>
                <w:left w:val="nil"/>
                <w:bottom w:val="nil"/>
                <w:right w:val="nil"/>
                <w:between w:val="nil"/>
              </w:pBdr>
              <w:rPr>
                <w:sz w:val="22"/>
                <w:szCs w:val="22"/>
              </w:rPr>
            </w:pPr>
            <w:r w:rsidRPr="003F2BD4">
              <w:rPr>
                <w:sz w:val="22"/>
                <w:szCs w:val="22"/>
              </w:rPr>
              <w:t>-36,9</w:t>
            </w:r>
          </w:p>
        </w:tc>
        <w:tc>
          <w:tcPr>
            <w:tcW w:w="1558" w:type="dxa"/>
            <w:noWrap/>
            <w:hideMark/>
          </w:tcPr>
          <w:p w14:paraId="1033EF69" w14:textId="77777777" w:rsidR="003F2BD4" w:rsidRPr="003F2BD4" w:rsidRDefault="003F2BD4" w:rsidP="003F2BD4">
            <w:pPr>
              <w:pBdr>
                <w:top w:val="nil"/>
                <w:left w:val="nil"/>
                <w:bottom w:val="nil"/>
                <w:right w:val="nil"/>
                <w:between w:val="nil"/>
              </w:pBdr>
              <w:rPr>
                <w:sz w:val="22"/>
                <w:szCs w:val="22"/>
              </w:rPr>
            </w:pPr>
            <w:r w:rsidRPr="003F2BD4">
              <w:rPr>
                <w:sz w:val="22"/>
                <w:szCs w:val="22"/>
              </w:rPr>
              <w:t>-32,2</w:t>
            </w:r>
          </w:p>
        </w:tc>
      </w:tr>
      <w:tr w:rsidR="003F2BD4" w:rsidRPr="003F2BD4" w14:paraId="25535E7B" w14:textId="77777777" w:rsidTr="003F2BD4">
        <w:trPr>
          <w:trHeight w:val="315"/>
        </w:trPr>
        <w:tc>
          <w:tcPr>
            <w:tcW w:w="2830" w:type="dxa"/>
            <w:noWrap/>
            <w:hideMark/>
          </w:tcPr>
          <w:p w14:paraId="0EB0D97D" w14:textId="77777777" w:rsidR="003F2BD4" w:rsidRPr="003F2BD4" w:rsidRDefault="003F2BD4" w:rsidP="003F2BD4">
            <w:pPr>
              <w:pBdr>
                <w:top w:val="nil"/>
                <w:left w:val="nil"/>
                <w:bottom w:val="nil"/>
                <w:right w:val="nil"/>
                <w:between w:val="nil"/>
              </w:pBdr>
              <w:rPr>
                <w:b/>
                <w:bCs/>
                <w:sz w:val="22"/>
                <w:szCs w:val="22"/>
              </w:rPr>
            </w:pPr>
            <w:proofErr w:type="spellStart"/>
            <w:r w:rsidRPr="003F2BD4">
              <w:rPr>
                <w:b/>
                <w:bCs/>
                <w:sz w:val="22"/>
                <w:szCs w:val="22"/>
              </w:rPr>
              <w:t>Gesamt</w:t>
            </w:r>
            <w:proofErr w:type="spellEnd"/>
          </w:p>
        </w:tc>
        <w:tc>
          <w:tcPr>
            <w:tcW w:w="1560" w:type="dxa"/>
            <w:noWrap/>
            <w:hideMark/>
          </w:tcPr>
          <w:p w14:paraId="319445AF" w14:textId="77777777" w:rsidR="003F2BD4" w:rsidRPr="003F2BD4" w:rsidRDefault="003F2BD4" w:rsidP="003F2BD4">
            <w:pPr>
              <w:pBdr>
                <w:top w:val="nil"/>
                <w:left w:val="nil"/>
                <w:bottom w:val="nil"/>
                <w:right w:val="nil"/>
                <w:between w:val="nil"/>
              </w:pBdr>
              <w:rPr>
                <w:b/>
                <w:bCs/>
                <w:sz w:val="22"/>
                <w:szCs w:val="22"/>
              </w:rPr>
            </w:pPr>
            <w:r w:rsidRPr="003F2BD4">
              <w:rPr>
                <w:b/>
                <w:bCs/>
                <w:sz w:val="22"/>
                <w:szCs w:val="22"/>
              </w:rPr>
              <w:t>1.287,9</w:t>
            </w:r>
          </w:p>
        </w:tc>
        <w:tc>
          <w:tcPr>
            <w:tcW w:w="1558" w:type="dxa"/>
            <w:noWrap/>
            <w:hideMark/>
          </w:tcPr>
          <w:p w14:paraId="20422A09" w14:textId="77777777" w:rsidR="003F2BD4" w:rsidRPr="003F2BD4" w:rsidRDefault="003F2BD4" w:rsidP="003F2BD4">
            <w:pPr>
              <w:pBdr>
                <w:top w:val="nil"/>
                <w:left w:val="nil"/>
                <w:bottom w:val="nil"/>
                <w:right w:val="nil"/>
                <w:between w:val="nil"/>
              </w:pBdr>
              <w:rPr>
                <w:b/>
                <w:bCs/>
                <w:sz w:val="22"/>
                <w:szCs w:val="22"/>
              </w:rPr>
            </w:pPr>
            <w:r w:rsidRPr="003F2BD4">
              <w:rPr>
                <w:b/>
                <w:bCs/>
                <w:sz w:val="22"/>
                <w:szCs w:val="22"/>
              </w:rPr>
              <w:t>1.402,7</w:t>
            </w:r>
          </w:p>
        </w:tc>
      </w:tr>
      <w:tr w:rsidR="003F2BD4" w:rsidRPr="003F2BD4" w14:paraId="16A440E1" w14:textId="77777777" w:rsidTr="003F2BD4">
        <w:trPr>
          <w:trHeight w:val="315"/>
        </w:trPr>
        <w:tc>
          <w:tcPr>
            <w:tcW w:w="5948" w:type="dxa"/>
            <w:gridSpan w:val="3"/>
            <w:noWrap/>
            <w:hideMark/>
          </w:tcPr>
          <w:p w14:paraId="0A5C6BE7" w14:textId="77777777" w:rsidR="003F2BD4" w:rsidRPr="003F2BD4" w:rsidRDefault="003F2BD4" w:rsidP="003F2BD4">
            <w:pPr>
              <w:pBdr>
                <w:top w:val="nil"/>
                <w:left w:val="nil"/>
                <w:bottom w:val="nil"/>
                <w:right w:val="nil"/>
                <w:between w:val="nil"/>
              </w:pBdr>
              <w:rPr>
                <w:sz w:val="22"/>
                <w:szCs w:val="22"/>
              </w:rPr>
            </w:pPr>
            <w:r w:rsidRPr="003F2BD4">
              <w:rPr>
                <w:sz w:val="22"/>
                <w:szCs w:val="22"/>
              </w:rPr>
              <w:t> </w:t>
            </w:r>
          </w:p>
        </w:tc>
      </w:tr>
      <w:tr w:rsidR="003F2BD4" w:rsidRPr="003F2BD4" w14:paraId="2D571D1F" w14:textId="77777777" w:rsidTr="003F2BD4">
        <w:trPr>
          <w:trHeight w:val="315"/>
        </w:trPr>
        <w:tc>
          <w:tcPr>
            <w:tcW w:w="5948" w:type="dxa"/>
            <w:gridSpan w:val="3"/>
            <w:noWrap/>
            <w:hideMark/>
          </w:tcPr>
          <w:p w14:paraId="3659C7EA" w14:textId="77777777" w:rsidR="003F2BD4" w:rsidRPr="003F2BD4" w:rsidRDefault="003F2BD4" w:rsidP="003F2BD4">
            <w:pPr>
              <w:pBdr>
                <w:top w:val="nil"/>
                <w:left w:val="nil"/>
                <w:bottom w:val="nil"/>
                <w:right w:val="nil"/>
                <w:between w:val="nil"/>
              </w:pBdr>
              <w:rPr>
                <w:b/>
                <w:bCs/>
                <w:sz w:val="22"/>
                <w:szCs w:val="22"/>
              </w:rPr>
            </w:pPr>
            <w:proofErr w:type="spellStart"/>
            <w:r w:rsidRPr="003F2BD4">
              <w:rPr>
                <w:b/>
                <w:bCs/>
                <w:sz w:val="22"/>
                <w:szCs w:val="22"/>
              </w:rPr>
              <w:t>Umsatz</w:t>
            </w:r>
            <w:proofErr w:type="spellEnd"/>
          </w:p>
        </w:tc>
      </w:tr>
      <w:tr w:rsidR="003F2BD4" w:rsidRPr="003F2BD4" w14:paraId="2F7C0B18" w14:textId="77777777" w:rsidTr="003F2BD4">
        <w:trPr>
          <w:trHeight w:val="315"/>
        </w:trPr>
        <w:tc>
          <w:tcPr>
            <w:tcW w:w="2830" w:type="dxa"/>
            <w:noWrap/>
            <w:hideMark/>
          </w:tcPr>
          <w:p w14:paraId="0205022F" w14:textId="77777777" w:rsidR="003F2BD4" w:rsidRPr="003F2BD4" w:rsidRDefault="003F2BD4" w:rsidP="003F2BD4">
            <w:pPr>
              <w:pBdr>
                <w:top w:val="nil"/>
                <w:left w:val="nil"/>
                <w:bottom w:val="nil"/>
                <w:right w:val="nil"/>
                <w:between w:val="nil"/>
              </w:pBdr>
              <w:rPr>
                <w:sz w:val="22"/>
                <w:szCs w:val="22"/>
              </w:rPr>
            </w:pPr>
            <w:proofErr w:type="spellStart"/>
            <w:r w:rsidRPr="003F2BD4">
              <w:rPr>
                <w:sz w:val="22"/>
                <w:szCs w:val="22"/>
              </w:rPr>
              <w:t>Sheetfed</w:t>
            </w:r>
            <w:proofErr w:type="spellEnd"/>
          </w:p>
        </w:tc>
        <w:tc>
          <w:tcPr>
            <w:tcW w:w="1560" w:type="dxa"/>
            <w:noWrap/>
            <w:hideMark/>
          </w:tcPr>
          <w:p w14:paraId="15318956" w14:textId="77777777" w:rsidR="003F2BD4" w:rsidRPr="003F2BD4" w:rsidRDefault="003F2BD4" w:rsidP="003F2BD4">
            <w:pPr>
              <w:pBdr>
                <w:top w:val="nil"/>
                <w:left w:val="nil"/>
                <w:bottom w:val="nil"/>
                <w:right w:val="nil"/>
                <w:between w:val="nil"/>
              </w:pBdr>
              <w:rPr>
                <w:sz w:val="22"/>
                <w:szCs w:val="22"/>
              </w:rPr>
            </w:pPr>
            <w:r w:rsidRPr="003F2BD4">
              <w:rPr>
                <w:sz w:val="22"/>
                <w:szCs w:val="22"/>
              </w:rPr>
              <w:t>779,9</w:t>
            </w:r>
          </w:p>
        </w:tc>
        <w:tc>
          <w:tcPr>
            <w:tcW w:w="1558" w:type="dxa"/>
            <w:noWrap/>
            <w:hideMark/>
          </w:tcPr>
          <w:p w14:paraId="286E6DEE" w14:textId="77777777" w:rsidR="003F2BD4" w:rsidRPr="003F2BD4" w:rsidRDefault="003F2BD4" w:rsidP="003F2BD4">
            <w:pPr>
              <w:pBdr>
                <w:top w:val="nil"/>
                <w:left w:val="nil"/>
                <w:bottom w:val="nil"/>
                <w:right w:val="nil"/>
                <w:between w:val="nil"/>
              </w:pBdr>
              <w:rPr>
                <w:sz w:val="22"/>
                <w:szCs w:val="22"/>
              </w:rPr>
            </w:pPr>
            <w:r w:rsidRPr="003F2BD4">
              <w:rPr>
                <w:sz w:val="22"/>
                <w:szCs w:val="22"/>
              </w:rPr>
              <w:t>734,8</w:t>
            </w:r>
          </w:p>
        </w:tc>
      </w:tr>
      <w:tr w:rsidR="003F2BD4" w:rsidRPr="003F2BD4" w14:paraId="11E5C6F9" w14:textId="77777777" w:rsidTr="003F2BD4">
        <w:trPr>
          <w:trHeight w:val="315"/>
        </w:trPr>
        <w:tc>
          <w:tcPr>
            <w:tcW w:w="2830" w:type="dxa"/>
            <w:noWrap/>
            <w:hideMark/>
          </w:tcPr>
          <w:p w14:paraId="44C26412" w14:textId="77777777" w:rsidR="003F2BD4" w:rsidRPr="003F2BD4" w:rsidRDefault="003F2BD4" w:rsidP="003F2BD4">
            <w:pPr>
              <w:pBdr>
                <w:top w:val="nil"/>
                <w:left w:val="nil"/>
                <w:bottom w:val="nil"/>
                <w:right w:val="nil"/>
                <w:between w:val="nil"/>
              </w:pBdr>
              <w:rPr>
                <w:sz w:val="22"/>
                <w:szCs w:val="22"/>
              </w:rPr>
            </w:pPr>
            <w:r w:rsidRPr="003F2BD4">
              <w:rPr>
                <w:sz w:val="22"/>
                <w:szCs w:val="22"/>
              </w:rPr>
              <w:t xml:space="preserve">Digital &amp; </w:t>
            </w:r>
            <w:proofErr w:type="spellStart"/>
            <w:r w:rsidRPr="003F2BD4">
              <w:rPr>
                <w:sz w:val="22"/>
                <w:szCs w:val="22"/>
              </w:rPr>
              <w:t>Webfed</w:t>
            </w:r>
            <w:proofErr w:type="spellEnd"/>
          </w:p>
        </w:tc>
        <w:tc>
          <w:tcPr>
            <w:tcW w:w="1560" w:type="dxa"/>
            <w:noWrap/>
            <w:hideMark/>
          </w:tcPr>
          <w:p w14:paraId="7085E3E6" w14:textId="77777777" w:rsidR="003F2BD4" w:rsidRPr="003F2BD4" w:rsidRDefault="003F2BD4" w:rsidP="003F2BD4">
            <w:pPr>
              <w:pBdr>
                <w:top w:val="nil"/>
                <w:left w:val="nil"/>
                <w:bottom w:val="nil"/>
                <w:right w:val="nil"/>
                <w:between w:val="nil"/>
              </w:pBdr>
              <w:rPr>
                <w:sz w:val="22"/>
                <w:szCs w:val="22"/>
              </w:rPr>
            </w:pPr>
            <w:r w:rsidRPr="003F2BD4">
              <w:rPr>
                <w:sz w:val="22"/>
                <w:szCs w:val="22"/>
              </w:rPr>
              <w:t>172,3</w:t>
            </w:r>
          </w:p>
        </w:tc>
        <w:tc>
          <w:tcPr>
            <w:tcW w:w="1558" w:type="dxa"/>
            <w:noWrap/>
            <w:hideMark/>
          </w:tcPr>
          <w:p w14:paraId="5B84D4D5" w14:textId="77777777" w:rsidR="003F2BD4" w:rsidRPr="003F2BD4" w:rsidRDefault="003F2BD4" w:rsidP="003F2BD4">
            <w:pPr>
              <w:pBdr>
                <w:top w:val="nil"/>
                <w:left w:val="nil"/>
                <w:bottom w:val="nil"/>
                <w:right w:val="nil"/>
                <w:between w:val="nil"/>
              </w:pBdr>
              <w:rPr>
                <w:sz w:val="22"/>
                <w:szCs w:val="22"/>
              </w:rPr>
            </w:pPr>
            <w:r w:rsidRPr="003F2BD4">
              <w:rPr>
                <w:sz w:val="22"/>
                <w:szCs w:val="22"/>
              </w:rPr>
              <w:t>157,6</w:t>
            </w:r>
          </w:p>
        </w:tc>
      </w:tr>
      <w:tr w:rsidR="003F2BD4" w:rsidRPr="003F2BD4" w14:paraId="6D09E058" w14:textId="77777777" w:rsidTr="003F2BD4">
        <w:trPr>
          <w:trHeight w:val="315"/>
        </w:trPr>
        <w:tc>
          <w:tcPr>
            <w:tcW w:w="2830" w:type="dxa"/>
            <w:noWrap/>
            <w:hideMark/>
          </w:tcPr>
          <w:p w14:paraId="370EFEE5" w14:textId="77777777" w:rsidR="003F2BD4" w:rsidRPr="003F2BD4" w:rsidRDefault="003F2BD4" w:rsidP="003F2BD4">
            <w:pPr>
              <w:pBdr>
                <w:top w:val="nil"/>
                <w:left w:val="nil"/>
                <w:bottom w:val="nil"/>
                <w:right w:val="nil"/>
                <w:between w:val="nil"/>
              </w:pBdr>
              <w:rPr>
                <w:sz w:val="22"/>
                <w:szCs w:val="22"/>
              </w:rPr>
            </w:pPr>
            <w:r w:rsidRPr="003F2BD4">
              <w:rPr>
                <w:sz w:val="22"/>
                <w:szCs w:val="22"/>
              </w:rPr>
              <w:t>Special</w:t>
            </w:r>
          </w:p>
        </w:tc>
        <w:tc>
          <w:tcPr>
            <w:tcW w:w="1560" w:type="dxa"/>
            <w:noWrap/>
            <w:hideMark/>
          </w:tcPr>
          <w:p w14:paraId="5555791F" w14:textId="77777777" w:rsidR="003F2BD4" w:rsidRPr="003F2BD4" w:rsidRDefault="003F2BD4" w:rsidP="003F2BD4">
            <w:pPr>
              <w:pBdr>
                <w:top w:val="nil"/>
                <w:left w:val="nil"/>
                <w:bottom w:val="nil"/>
                <w:right w:val="nil"/>
                <w:between w:val="nil"/>
              </w:pBdr>
              <w:rPr>
                <w:sz w:val="22"/>
                <w:szCs w:val="22"/>
              </w:rPr>
            </w:pPr>
            <w:r w:rsidRPr="003F2BD4">
              <w:rPr>
                <w:sz w:val="22"/>
                <w:szCs w:val="22"/>
              </w:rPr>
              <w:t>413,7</w:t>
            </w:r>
          </w:p>
        </w:tc>
        <w:tc>
          <w:tcPr>
            <w:tcW w:w="1558" w:type="dxa"/>
            <w:noWrap/>
            <w:hideMark/>
          </w:tcPr>
          <w:p w14:paraId="4B14839C" w14:textId="77777777" w:rsidR="003F2BD4" w:rsidRPr="003F2BD4" w:rsidRDefault="003F2BD4" w:rsidP="003F2BD4">
            <w:pPr>
              <w:pBdr>
                <w:top w:val="nil"/>
                <w:left w:val="nil"/>
                <w:bottom w:val="nil"/>
                <w:right w:val="nil"/>
                <w:between w:val="nil"/>
              </w:pBdr>
              <w:rPr>
                <w:sz w:val="22"/>
                <w:szCs w:val="22"/>
              </w:rPr>
            </w:pPr>
            <w:r w:rsidRPr="003F2BD4">
              <w:rPr>
                <w:sz w:val="22"/>
                <w:szCs w:val="22"/>
              </w:rPr>
              <w:t>407,4</w:t>
            </w:r>
          </w:p>
        </w:tc>
      </w:tr>
      <w:tr w:rsidR="003F2BD4" w:rsidRPr="003F2BD4" w14:paraId="72EAA2B5" w14:textId="77777777" w:rsidTr="003F2BD4">
        <w:trPr>
          <w:trHeight w:val="315"/>
        </w:trPr>
        <w:tc>
          <w:tcPr>
            <w:tcW w:w="2830" w:type="dxa"/>
            <w:noWrap/>
            <w:hideMark/>
          </w:tcPr>
          <w:p w14:paraId="2EF086A8" w14:textId="77777777" w:rsidR="003F2BD4" w:rsidRPr="003F2BD4" w:rsidRDefault="003F2BD4" w:rsidP="003F2BD4">
            <w:pPr>
              <w:pBdr>
                <w:top w:val="nil"/>
                <w:left w:val="nil"/>
                <w:bottom w:val="nil"/>
                <w:right w:val="nil"/>
                <w:between w:val="nil"/>
              </w:pBdr>
              <w:rPr>
                <w:sz w:val="22"/>
                <w:szCs w:val="22"/>
              </w:rPr>
            </w:pPr>
            <w:proofErr w:type="spellStart"/>
            <w:r w:rsidRPr="003F2BD4">
              <w:rPr>
                <w:sz w:val="22"/>
                <w:szCs w:val="22"/>
              </w:rPr>
              <w:t>Überleitung</w:t>
            </w:r>
            <w:proofErr w:type="spellEnd"/>
          </w:p>
        </w:tc>
        <w:tc>
          <w:tcPr>
            <w:tcW w:w="1560" w:type="dxa"/>
            <w:noWrap/>
            <w:hideMark/>
          </w:tcPr>
          <w:p w14:paraId="5C6AAA14" w14:textId="77777777" w:rsidR="003F2BD4" w:rsidRPr="003F2BD4" w:rsidRDefault="003F2BD4" w:rsidP="003F2BD4">
            <w:pPr>
              <w:pBdr>
                <w:top w:val="nil"/>
                <w:left w:val="nil"/>
                <w:bottom w:val="nil"/>
                <w:right w:val="nil"/>
                <w:between w:val="nil"/>
              </w:pBdr>
              <w:rPr>
                <w:sz w:val="22"/>
                <w:szCs w:val="22"/>
              </w:rPr>
            </w:pPr>
            <w:r w:rsidRPr="003F2BD4">
              <w:rPr>
                <w:sz w:val="22"/>
                <w:szCs w:val="22"/>
              </w:rPr>
              <w:t>-39,0</w:t>
            </w:r>
          </w:p>
        </w:tc>
        <w:tc>
          <w:tcPr>
            <w:tcW w:w="1558" w:type="dxa"/>
            <w:noWrap/>
            <w:hideMark/>
          </w:tcPr>
          <w:p w14:paraId="030BB34F" w14:textId="77777777" w:rsidR="003F2BD4" w:rsidRPr="003F2BD4" w:rsidRDefault="003F2BD4" w:rsidP="003F2BD4">
            <w:pPr>
              <w:pBdr>
                <w:top w:val="nil"/>
                <w:left w:val="nil"/>
                <w:bottom w:val="nil"/>
                <w:right w:val="nil"/>
                <w:between w:val="nil"/>
              </w:pBdr>
              <w:rPr>
                <w:sz w:val="22"/>
                <w:szCs w:val="22"/>
              </w:rPr>
            </w:pPr>
            <w:r w:rsidRPr="003F2BD4">
              <w:rPr>
                <w:sz w:val="22"/>
                <w:szCs w:val="22"/>
              </w:rPr>
              <w:t>-25,4</w:t>
            </w:r>
          </w:p>
        </w:tc>
      </w:tr>
      <w:tr w:rsidR="003F2BD4" w:rsidRPr="003F2BD4" w14:paraId="021A321C" w14:textId="77777777" w:rsidTr="003F2BD4">
        <w:trPr>
          <w:trHeight w:val="315"/>
        </w:trPr>
        <w:tc>
          <w:tcPr>
            <w:tcW w:w="2830" w:type="dxa"/>
            <w:noWrap/>
            <w:hideMark/>
          </w:tcPr>
          <w:p w14:paraId="2E70DEC3" w14:textId="77777777" w:rsidR="003F2BD4" w:rsidRPr="003F2BD4" w:rsidRDefault="003F2BD4" w:rsidP="003F2BD4">
            <w:pPr>
              <w:pBdr>
                <w:top w:val="nil"/>
                <w:left w:val="nil"/>
                <w:bottom w:val="nil"/>
                <w:right w:val="nil"/>
                <w:between w:val="nil"/>
              </w:pBdr>
              <w:rPr>
                <w:b/>
                <w:bCs/>
                <w:sz w:val="22"/>
                <w:szCs w:val="22"/>
              </w:rPr>
            </w:pPr>
            <w:proofErr w:type="spellStart"/>
            <w:r w:rsidRPr="003F2BD4">
              <w:rPr>
                <w:b/>
                <w:bCs/>
                <w:sz w:val="22"/>
                <w:szCs w:val="22"/>
              </w:rPr>
              <w:t>Gesamt</w:t>
            </w:r>
            <w:proofErr w:type="spellEnd"/>
          </w:p>
        </w:tc>
        <w:tc>
          <w:tcPr>
            <w:tcW w:w="1560" w:type="dxa"/>
            <w:noWrap/>
            <w:hideMark/>
          </w:tcPr>
          <w:p w14:paraId="3B1EA3B3" w14:textId="77777777" w:rsidR="003F2BD4" w:rsidRPr="003F2BD4" w:rsidRDefault="003F2BD4" w:rsidP="003F2BD4">
            <w:pPr>
              <w:pBdr>
                <w:top w:val="nil"/>
                <w:left w:val="nil"/>
                <w:bottom w:val="nil"/>
                <w:right w:val="nil"/>
                <w:between w:val="nil"/>
              </w:pBdr>
              <w:rPr>
                <w:b/>
                <w:bCs/>
                <w:sz w:val="22"/>
                <w:szCs w:val="22"/>
              </w:rPr>
            </w:pPr>
            <w:r w:rsidRPr="003F2BD4">
              <w:rPr>
                <w:b/>
                <w:bCs/>
                <w:sz w:val="22"/>
                <w:szCs w:val="22"/>
              </w:rPr>
              <w:t>1.326,8</w:t>
            </w:r>
          </w:p>
        </w:tc>
        <w:tc>
          <w:tcPr>
            <w:tcW w:w="1558" w:type="dxa"/>
            <w:noWrap/>
            <w:hideMark/>
          </w:tcPr>
          <w:p w14:paraId="217AE119" w14:textId="77777777" w:rsidR="003F2BD4" w:rsidRPr="003F2BD4" w:rsidRDefault="003F2BD4" w:rsidP="003F2BD4">
            <w:pPr>
              <w:pBdr>
                <w:top w:val="nil"/>
                <w:left w:val="nil"/>
                <w:bottom w:val="nil"/>
                <w:right w:val="nil"/>
                <w:between w:val="nil"/>
              </w:pBdr>
              <w:rPr>
                <w:b/>
                <w:bCs/>
                <w:sz w:val="22"/>
                <w:szCs w:val="22"/>
              </w:rPr>
            </w:pPr>
            <w:r w:rsidRPr="003F2BD4">
              <w:rPr>
                <w:b/>
                <w:bCs/>
                <w:sz w:val="22"/>
                <w:szCs w:val="22"/>
              </w:rPr>
              <w:t>1.274,4</w:t>
            </w:r>
          </w:p>
        </w:tc>
      </w:tr>
      <w:tr w:rsidR="003F2BD4" w:rsidRPr="003F2BD4" w14:paraId="3D8B8770" w14:textId="77777777" w:rsidTr="003F2BD4">
        <w:trPr>
          <w:trHeight w:val="315"/>
        </w:trPr>
        <w:tc>
          <w:tcPr>
            <w:tcW w:w="5948" w:type="dxa"/>
            <w:gridSpan w:val="3"/>
            <w:noWrap/>
            <w:hideMark/>
          </w:tcPr>
          <w:p w14:paraId="42010E39" w14:textId="77777777" w:rsidR="003F2BD4" w:rsidRPr="003F2BD4" w:rsidRDefault="003F2BD4" w:rsidP="003F2BD4">
            <w:pPr>
              <w:pBdr>
                <w:top w:val="nil"/>
                <w:left w:val="nil"/>
                <w:bottom w:val="nil"/>
                <w:right w:val="nil"/>
                <w:between w:val="nil"/>
              </w:pBdr>
              <w:rPr>
                <w:b/>
                <w:bCs/>
                <w:sz w:val="22"/>
                <w:szCs w:val="22"/>
              </w:rPr>
            </w:pPr>
            <w:r w:rsidRPr="003F2BD4">
              <w:rPr>
                <w:b/>
                <w:bCs/>
                <w:sz w:val="22"/>
                <w:szCs w:val="22"/>
              </w:rPr>
              <w:t> </w:t>
            </w:r>
          </w:p>
        </w:tc>
      </w:tr>
      <w:tr w:rsidR="003F2BD4" w:rsidRPr="003F2BD4" w14:paraId="1D9690B7" w14:textId="77777777" w:rsidTr="003F2BD4">
        <w:trPr>
          <w:trHeight w:val="315"/>
        </w:trPr>
        <w:tc>
          <w:tcPr>
            <w:tcW w:w="2830" w:type="dxa"/>
            <w:noWrap/>
            <w:hideMark/>
          </w:tcPr>
          <w:p w14:paraId="2CD79F4B" w14:textId="77777777" w:rsidR="003F2BD4" w:rsidRPr="003F2BD4" w:rsidRDefault="003F2BD4" w:rsidP="003F2BD4">
            <w:pPr>
              <w:pBdr>
                <w:top w:val="nil"/>
                <w:left w:val="nil"/>
                <w:bottom w:val="nil"/>
                <w:right w:val="nil"/>
                <w:between w:val="nil"/>
              </w:pBdr>
              <w:rPr>
                <w:b/>
                <w:bCs/>
                <w:sz w:val="22"/>
                <w:szCs w:val="22"/>
              </w:rPr>
            </w:pPr>
            <w:proofErr w:type="spellStart"/>
            <w:r w:rsidRPr="003F2BD4">
              <w:rPr>
                <w:b/>
                <w:bCs/>
                <w:sz w:val="22"/>
                <w:szCs w:val="22"/>
              </w:rPr>
              <w:t>Auftragsbestand</w:t>
            </w:r>
            <w:proofErr w:type="spellEnd"/>
          </w:p>
        </w:tc>
        <w:tc>
          <w:tcPr>
            <w:tcW w:w="1560" w:type="dxa"/>
            <w:noWrap/>
            <w:hideMark/>
          </w:tcPr>
          <w:p w14:paraId="6706BE49" w14:textId="77777777" w:rsidR="003F2BD4" w:rsidRPr="003F2BD4" w:rsidRDefault="003F2BD4" w:rsidP="003F2BD4">
            <w:pPr>
              <w:pBdr>
                <w:top w:val="nil"/>
                <w:left w:val="nil"/>
                <w:bottom w:val="nil"/>
                <w:right w:val="nil"/>
                <w:between w:val="nil"/>
              </w:pBdr>
              <w:rPr>
                <w:sz w:val="22"/>
                <w:szCs w:val="22"/>
              </w:rPr>
            </w:pPr>
            <w:r w:rsidRPr="003F2BD4">
              <w:rPr>
                <w:sz w:val="22"/>
                <w:szCs w:val="22"/>
              </w:rPr>
              <w:t> </w:t>
            </w:r>
          </w:p>
        </w:tc>
        <w:tc>
          <w:tcPr>
            <w:tcW w:w="1558" w:type="dxa"/>
            <w:noWrap/>
            <w:hideMark/>
          </w:tcPr>
          <w:p w14:paraId="08BEDFA6" w14:textId="77777777" w:rsidR="003F2BD4" w:rsidRPr="003F2BD4" w:rsidRDefault="003F2BD4" w:rsidP="003F2BD4">
            <w:pPr>
              <w:pBdr>
                <w:top w:val="nil"/>
                <w:left w:val="nil"/>
                <w:bottom w:val="nil"/>
                <w:right w:val="nil"/>
                <w:between w:val="nil"/>
              </w:pBdr>
              <w:rPr>
                <w:sz w:val="22"/>
                <w:szCs w:val="22"/>
              </w:rPr>
            </w:pPr>
            <w:r w:rsidRPr="003F2BD4">
              <w:rPr>
                <w:sz w:val="22"/>
                <w:szCs w:val="22"/>
              </w:rPr>
              <w:t> </w:t>
            </w:r>
          </w:p>
        </w:tc>
      </w:tr>
      <w:tr w:rsidR="003F2BD4" w:rsidRPr="003F2BD4" w14:paraId="430BBB17" w14:textId="77777777" w:rsidTr="003F2BD4">
        <w:trPr>
          <w:trHeight w:val="315"/>
        </w:trPr>
        <w:tc>
          <w:tcPr>
            <w:tcW w:w="2830" w:type="dxa"/>
            <w:noWrap/>
            <w:hideMark/>
          </w:tcPr>
          <w:p w14:paraId="343A72CE" w14:textId="77777777" w:rsidR="003F2BD4" w:rsidRPr="003F2BD4" w:rsidRDefault="003F2BD4" w:rsidP="003F2BD4">
            <w:pPr>
              <w:pBdr>
                <w:top w:val="nil"/>
                <w:left w:val="nil"/>
                <w:bottom w:val="nil"/>
                <w:right w:val="nil"/>
                <w:between w:val="nil"/>
              </w:pBdr>
              <w:rPr>
                <w:sz w:val="22"/>
                <w:szCs w:val="22"/>
              </w:rPr>
            </w:pPr>
            <w:proofErr w:type="spellStart"/>
            <w:r w:rsidRPr="003F2BD4">
              <w:rPr>
                <w:sz w:val="22"/>
                <w:szCs w:val="22"/>
              </w:rPr>
              <w:t>Sheetfed</w:t>
            </w:r>
            <w:proofErr w:type="spellEnd"/>
          </w:p>
        </w:tc>
        <w:tc>
          <w:tcPr>
            <w:tcW w:w="1560" w:type="dxa"/>
            <w:noWrap/>
            <w:hideMark/>
          </w:tcPr>
          <w:p w14:paraId="415316C3" w14:textId="77777777" w:rsidR="003F2BD4" w:rsidRPr="003F2BD4" w:rsidRDefault="003F2BD4" w:rsidP="003F2BD4">
            <w:pPr>
              <w:pBdr>
                <w:top w:val="nil"/>
                <w:left w:val="nil"/>
                <w:bottom w:val="nil"/>
                <w:right w:val="nil"/>
                <w:between w:val="nil"/>
              </w:pBdr>
              <w:rPr>
                <w:sz w:val="22"/>
                <w:szCs w:val="22"/>
              </w:rPr>
            </w:pPr>
            <w:r w:rsidRPr="003F2BD4">
              <w:rPr>
                <w:sz w:val="22"/>
                <w:szCs w:val="22"/>
              </w:rPr>
              <w:t>409,3</w:t>
            </w:r>
          </w:p>
        </w:tc>
        <w:tc>
          <w:tcPr>
            <w:tcW w:w="1558" w:type="dxa"/>
            <w:noWrap/>
            <w:hideMark/>
          </w:tcPr>
          <w:p w14:paraId="2B9D0D15" w14:textId="77777777" w:rsidR="003F2BD4" w:rsidRPr="003F2BD4" w:rsidRDefault="003F2BD4" w:rsidP="003F2BD4">
            <w:pPr>
              <w:pBdr>
                <w:top w:val="nil"/>
                <w:left w:val="nil"/>
                <w:bottom w:val="nil"/>
                <w:right w:val="nil"/>
                <w:between w:val="nil"/>
              </w:pBdr>
              <w:rPr>
                <w:sz w:val="22"/>
                <w:szCs w:val="22"/>
              </w:rPr>
            </w:pPr>
            <w:r w:rsidRPr="003F2BD4">
              <w:rPr>
                <w:sz w:val="22"/>
                <w:szCs w:val="22"/>
              </w:rPr>
              <w:t>407,0</w:t>
            </w:r>
          </w:p>
        </w:tc>
      </w:tr>
      <w:tr w:rsidR="003F2BD4" w:rsidRPr="003F2BD4" w14:paraId="071BA296" w14:textId="77777777" w:rsidTr="003F2BD4">
        <w:trPr>
          <w:trHeight w:val="315"/>
        </w:trPr>
        <w:tc>
          <w:tcPr>
            <w:tcW w:w="2830" w:type="dxa"/>
            <w:noWrap/>
            <w:hideMark/>
          </w:tcPr>
          <w:p w14:paraId="341540BE" w14:textId="77777777" w:rsidR="003F2BD4" w:rsidRPr="003F2BD4" w:rsidRDefault="003F2BD4" w:rsidP="003F2BD4">
            <w:pPr>
              <w:pBdr>
                <w:top w:val="nil"/>
                <w:left w:val="nil"/>
                <w:bottom w:val="nil"/>
                <w:right w:val="nil"/>
                <w:between w:val="nil"/>
              </w:pBdr>
              <w:rPr>
                <w:sz w:val="22"/>
                <w:szCs w:val="22"/>
              </w:rPr>
            </w:pPr>
            <w:r w:rsidRPr="003F2BD4">
              <w:rPr>
                <w:sz w:val="22"/>
                <w:szCs w:val="22"/>
              </w:rPr>
              <w:t xml:space="preserve">Digital &amp; </w:t>
            </w:r>
            <w:proofErr w:type="spellStart"/>
            <w:r w:rsidRPr="003F2BD4">
              <w:rPr>
                <w:sz w:val="22"/>
                <w:szCs w:val="22"/>
              </w:rPr>
              <w:t>Webfed</w:t>
            </w:r>
            <w:proofErr w:type="spellEnd"/>
          </w:p>
        </w:tc>
        <w:tc>
          <w:tcPr>
            <w:tcW w:w="1560" w:type="dxa"/>
            <w:noWrap/>
            <w:hideMark/>
          </w:tcPr>
          <w:p w14:paraId="2E617544" w14:textId="77777777" w:rsidR="003F2BD4" w:rsidRPr="003F2BD4" w:rsidRDefault="003F2BD4" w:rsidP="003F2BD4">
            <w:pPr>
              <w:pBdr>
                <w:top w:val="nil"/>
                <w:left w:val="nil"/>
                <w:bottom w:val="nil"/>
                <w:right w:val="nil"/>
                <w:between w:val="nil"/>
              </w:pBdr>
              <w:rPr>
                <w:sz w:val="22"/>
                <w:szCs w:val="22"/>
              </w:rPr>
            </w:pPr>
            <w:r w:rsidRPr="003F2BD4">
              <w:rPr>
                <w:sz w:val="22"/>
                <w:szCs w:val="22"/>
              </w:rPr>
              <w:t>119,8</w:t>
            </w:r>
          </w:p>
        </w:tc>
        <w:tc>
          <w:tcPr>
            <w:tcW w:w="1558" w:type="dxa"/>
            <w:noWrap/>
            <w:hideMark/>
          </w:tcPr>
          <w:p w14:paraId="6BDC8D0A" w14:textId="77777777" w:rsidR="003F2BD4" w:rsidRPr="003F2BD4" w:rsidRDefault="003F2BD4" w:rsidP="003F2BD4">
            <w:pPr>
              <w:pBdr>
                <w:top w:val="nil"/>
                <w:left w:val="nil"/>
                <w:bottom w:val="nil"/>
                <w:right w:val="nil"/>
                <w:between w:val="nil"/>
              </w:pBdr>
              <w:rPr>
                <w:sz w:val="22"/>
                <w:szCs w:val="22"/>
              </w:rPr>
            </w:pPr>
            <w:r w:rsidRPr="003F2BD4">
              <w:rPr>
                <w:sz w:val="22"/>
                <w:szCs w:val="22"/>
              </w:rPr>
              <w:t>122,8</w:t>
            </w:r>
          </w:p>
        </w:tc>
      </w:tr>
      <w:tr w:rsidR="003F2BD4" w:rsidRPr="003F2BD4" w14:paraId="0113133A" w14:textId="77777777" w:rsidTr="003F2BD4">
        <w:trPr>
          <w:trHeight w:val="315"/>
        </w:trPr>
        <w:tc>
          <w:tcPr>
            <w:tcW w:w="2830" w:type="dxa"/>
            <w:noWrap/>
            <w:hideMark/>
          </w:tcPr>
          <w:p w14:paraId="4A3901F9" w14:textId="77777777" w:rsidR="003F2BD4" w:rsidRPr="003F2BD4" w:rsidRDefault="003F2BD4" w:rsidP="003F2BD4">
            <w:pPr>
              <w:pBdr>
                <w:top w:val="nil"/>
                <w:left w:val="nil"/>
                <w:bottom w:val="nil"/>
                <w:right w:val="nil"/>
                <w:between w:val="nil"/>
              </w:pBdr>
              <w:rPr>
                <w:sz w:val="22"/>
                <w:szCs w:val="22"/>
              </w:rPr>
            </w:pPr>
            <w:r w:rsidRPr="003F2BD4">
              <w:rPr>
                <w:sz w:val="22"/>
                <w:szCs w:val="22"/>
              </w:rPr>
              <w:t>Special</w:t>
            </w:r>
          </w:p>
        </w:tc>
        <w:tc>
          <w:tcPr>
            <w:tcW w:w="1560" w:type="dxa"/>
            <w:noWrap/>
            <w:hideMark/>
          </w:tcPr>
          <w:p w14:paraId="080D911E" w14:textId="77777777" w:rsidR="003F2BD4" w:rsidRPr="003F2BD4" w:rsidRDefault="003F2BD4" w:rsidP="003F2BD4">
            <w:pPr>
              <w:pBdr>
                <w:top w:val="nil"/>
                <w:left w:val="nil"/>
                <w:bottom w:val="nil"/>
                <w:right w:val="nil"/>
                <w:between w:val="nil"/>
              </w:pBdr>
              <w:rPr>
                <w:sz w:val="22"/>
                <w:szCs w:val="22"/>
              </w:rPr>
            </w:pPr>
            <w:r w:rsidRPr="003F2BD4">
              <w:rPr>
                <w:sz w:val="22"/>
                <w:szCs w:val="22"/>
              </w:rPr>
              <w:t>378,5</w:t>
            </w:r>
          </w:p>
        </w:tc>
        <w:tc>
          <w:tcPr>
            <w:tcW w:w="1558" w:type="dxa"/>
            <w:noWrap/>
            <w:hideMark/>
          </w:tcPr>
          <w:p w14:paraId="0B84CF58" w14:textId="77777777" w:rsidR="003F2BD4" w:rsidRPr="003F2BD4" w:rsidRDefault="003F2BD4" w:rsidP="003F2BD4">
            <w:pPr>
              <w:pBdr>
                <w:top w:val="nil"/>
                <w:left w:val="nil"/>
                <w:bottom w:val="nil"/>
                <w:right w:val="nil"/>
                <w:between w:val="nil"/>
              </w:pBdr>
              <w:rPr>
                <w:sz w:val="22"/>
                <w:szCs w:val="22"/>
              </w:rPr>
            </w:pPr>
            <w:r w:rsidRPr="003F2BD4">
              <w:rPr>
                <w:sz w:val="22"/>
                <w:szCs w:val="22"/>
              </w:rPr>
              <w:t>513,0</w:t>
            </w:r>
          </w:p>
        </w:tc>
      </w:tr>
      <w:tr w:rsidR="003F2BD4" w:rsidRPr="003F2BD4" w14:paraId="4AE51F1D" w14:textId="77777777" w:rsidTr="003F2BD4">
        <w:trPr>
          <w:trHeight w:val="315"/>
        </w:trPr>
        <w:tc>
          <w:tcPr>
            <w:tcW w:w="2830" w:type="dxa"/>
            <w:noWrap/>
            <w:hideMark/>
          </w:tcPr>
          <w:p w14:paraId="53D54AA5" w14:textId="77777777" w:rsidR="003F2BD4" w:rsidRPr="003F2BD4" w:rsidRDefault="003F2BD4" w:rsidP="003F2BD4">
            <w:pPr>
              <w:pBdr>
                <w:top w:val="nil"/>
                <w:left w:val="nil"/>
                <w:bottom w:val="nil"/>
                <w:right w:val="nil"/>
                <w:between w:val="nil"/>
              </w:pBdr>
              <w:rPr>
                <w:sz w:val="22"/>
                <w:szCs w:val="22"/>
              </w:rPr>
            </w:pPr>
            <w:proofErr w:type="spellStart"/>
            <w:r w:rsidRPr="003F2BD4">
              <w:rPr>
                <w:sz w:val="22"/>
                <w:szCs w:val="22"/>
              </w:rPr>
              <w:lastRenderedPageBreak/>
              <w:t>Überleitung</w:t>
            </w:r>
            <w:proofErr w:type="spellEnd"/>
          </w:p>
        </w:tc>
        <w:tc>
          <w:tcPr>
            <w:tcW w:w="1560" w:type="dxa"/>
            <w:noWrap/>
            <w:hideMark/>
          </w:tcPr>
          <w:p w14:paraId="389D8D16" w14:textId="77777777" w:rsidR="003F2BD4" w:rsidRPr="003F2BD4" w:rsidRDefault="003F2BD4" w:rsidP="003F2BD4">
            <w:pPr>
              <w:pBdr>
                <w:top w:val="nil"/>
                <w:left w:val="nil"/>
                <w:bottom w:val="nil"/>
                <w:right w:val="nil"/>
                <w:between w:val="nil"/>
              </w:pBdr>
              <w:rPr>
                <w:sz w:val="22"/>
                <w:szCs w:val="22"/>
              </w:rPr>
            </w:pPr>
            <w:r w:rsidRPr="003F2BD4">
              <w:rPr>
                <w:sz w:val="22"/>
                <w:szCs w:val="22"/>
              </w:rPr>
              <w:t>3,9</w:t>
            </w:r>
          </w:p>
        </w:tc>
        <w:tc>
          <w:tcPr>
            <w:tcW w:w="1558" w:type="dxa"/>
            <w:noWrap/>
            <w:hideMark/>
          </w:tcPr>
          <w:p w14:paraId="0F3A4E93" w14:textId="77777777" w:rsidR="003F2BD4" w:rsidRPr="003F2BD4" w:rsidRDefault="003F2BD4" w:rsidP="003F2BD4">
            <w:pPr>
              <w:pBdr>
                <w:top w:val="nil"/>
                <w:left w:val="nil"/>
                <w:bottom w:val="nil"/>
                <w:right w:val="nil"/>
                <w:between w:val="nil"/>
              </w:pBdr>
              <w:rPr>
                <w:sz w:val="22"/>
                <w:szCs w:val="22"/>
              </w:rPr>
            </w:pPr>
            <w:r w:rsidRPr="003F2BD4">
              <w:rPr>
                <w:sz w:val="22"/>
                <w:szCs w:val="22"/>
              </w:rPr>
              <w:t>-3,0</w:t>
            </w:r>
          </w:p>
        </w:tc>
      </w:tr>
      <w:tr w:rsidR="003F2BD4" w:rsidRPr="003F2BD4" w14:paraId="7F21757F" w14:textId="77777777" w:rsidTr="003F2BD4">
        <w:trPr>
          <w:trHeight w:val="315"/>
        </w:trPr>
        <w:tc>
          <w:tcPr>
            <w:tcW w:w="2830" w:type="dxa"/>
            <w:noWrap/>
            <w:hideMark/>
          </w:tcPr>
          <w:p w14:paraId="52E780D6" w14:textId="77777777" w:rsidR="003F2BD4" w:rsidRPr="003F2BD4" w:rsidRDefault="003F2BD4" w:rsidP="003F2BD4">
            <w:pPr>
              <w:pBdr>
                <w:top w:val="nil"/>
                <w:left w:val="nil"/>
                <w:bottom w:val="nil"/>
                <w:right w:val="nil"/>
                <w:between w:val="nil"/>
              </w:pBdr>
              <w:rPr>
                <w:b/>
                <w:bCs/>
                <w:sz w:val="22"/>
                <w:szCs w:val="22"/>
              </w:rPr>
            </w:pPr>
            <w:proofErr w:type="spellStart"/>
            <w:r w:rsidRPr="003F2BD4">
              <w:rPr>
                <w:b/>
                <w:bCs/>
                <w:sz w:val="22"/>
                <w:szCs w:val="22"/>
              </w:rPr>
              <w:t>Gesamt</w:t>
            </w:r>
            <w:proofErr w:type="spellEnd"/>
          </w:p>
        </w:tc>
        <w:tc>
          <w:tcPr>
            <w:tcW w:w="1560" w:type="dxa"/>
            <w:noWrap/>
            <w:hideMark/>
          </w:tcPr>
          <w:p w14:paraId="164681C3" w14:textId="77777777" w:rsidR="003F2BD4" w:rsidRPr="003F2BD4" w:rsidRDefault="003F2BD4" w:rsidP="003F2BD4">
            <w:pPr>
              <w:pBdr>
                <w:top w:val="nil"/>
                <w:left w:val="nil"/>
                <w:bottom w:val="nil"/>
                <w:right w:val="nil"/>
                <w:between w:val="nil"/>
              </w:pBdr>
              <w:rPr>
                <w:b/>
                <w:bCs/>
                <w:sz w:val="22"/>
                <w:szCs w:val="22"/>
              </w:rPr>
            </w:pPr>
            <w:r w:rsidRPr="003F2BD4">
              <w:rPr>
                <w:b/>
                <w:bCs/>
                <w:sz w:val="22"/>
                <w:szCs w:val="22"/>
              </w:rPr>
              <w:t>911,5</w:t>
            </w:r>
          </w:p>
        </w:tc>
        <w:tc>
          <w:tcPr>
            <w:tcW w:w="1558" w:type="dxa"/>
            <w:noWrap/>
            <w:hideMark/>
          </w:tcPr>
          <w:p w14:paraId="29ECDE86" w14:textId="77777777" w:rsidR="003F2BD4" w:rsidRPr="003F2BD4" w:rsidRDefault="003F2BD4" w:rsidP="003F2BD4">
            <w:pPr>
              <w:pBdr>
                <w:top w:val="nil"/>
                <w:left w:val="nil"/>
                <w:bottom w:val="nil"/>
                <w:right w:val="nil"/>
                <w:between w:val="nil"/>
              </w:pBdr>
              <w:rPr>
                <w:b/>
                <w:bCs/>
                <w:sz w:val="22"/>
                <w:szCs w:val="22"/>
              </w:rPr>
            </w:pPr>
            <w:r w:rsidRPr="003F2BD4">
              <w:rPr>
                <w:b/>
                <w:bCs/>
                <w:sz w:val="22"/>
                <w:szCs w:val="22"/>
              </w:rPr>
              <w:t>1.039,8</w:t>
            </w:r>
          </w:p>
        </w:tc>
      </w:tr>
      <w:tr w:rsidR="003F2BD4" w:rsidRPr="003F2BD4" w14:paraId="04341B92" w14:textId="77777777" w:rsidTr="003F2BD4">
        <w:trPr>
          <w:trHeight w:val="315"/>
        </w:trPr>
        <w:tc>
          <w:tcPr>
            <w:tcW w:w="5948" w:type="dxa"/>
            <w:gridSpan w:val="3"/>
            <w:noWrap/>
            <w:hideMark/>
          </w:tcPr>
          <w:p w14:paraId="41A57988" w14:textId="77777777" w:rsidR="003F2BD4" w:rsidRPr="003F2BD4" w:rsidRDefault="003F2BD4" w:rsidP="003F2BD4">
            <w:pPr>
              <w:pBdr>
                <w:top w:val="nil"/>
                <w:left w:val="nil"/>
                <w:bottom w:val="nil"/>
                <w:right w:val="nil"/>
                <w:between w:val="nil"/>
              </w:pBdr>
              <w:rPr>
                <w:sz w:val="22"/>
                <w:szCs w:val="22"/>
              </w:rPr>
            </w:pPr>
            <w:r w:rsidRPr="003F2BD4">
              <w:rPr>
                <w:sz w:val="22"/>
                <w:szCs w:val="22"/>
              </w:rPr>
              <w:t> </w:t>
            </w:r>
          </w:p>
        </w:tc>
      </w:tr>
      <w:tr w:rsidR="003F2BD4" w:rsidRPr="003F2BD4" w14:paraId="0083C785" w14:textId="77777777" w:rsidTr="003F2BD4">
        <w:trPr>
          <w:trHeight w:val="315"/>
        </w:trPr>
        <w:tc>
          <w:tcPr>
            <w:tcW w:w="5948" w:type="dxa"/>
            <w:gridSpan w:val="3"/>
            <w:noWrap/>
            <w:hideMark/>
          </w:tcPr>
          <w:p w14:paraId="5E125640" w14:textId="77777777" w:rsidR="003F2BD4" w:rsidRPr="003F2BD4" w:rsidRDefault="003F2BD4" w:rsidP="003F2BD4">
            <w:pPr>
              <w:pBdr>
                <w:top w:val="nil"/>
                <w:left w:val="nil"/>
                <w:bottom w:val="nil"/>
                <w:right w:val="nil"/>
                <w:between w:val="nil"/>
              </w:pBdr>
              <w:rPr>
                <w:b/>
                <w:bCs/>
                <w:sz w:val="22"/>
                <w:szCs w:val="22"/>
              </w:rPr>
            </w:pPr>
            <w:r w:rsidRPr="003F2BD4">
              <w:rPr>
                <w:b/>
                <w:bCs/>
                <w:sz w:val="22"/>
                <w:szCs w:val="22"/>
              </w:rPr>
              <w:t>EBIT</w:t>
            </w:r>
          </w:p>
        </w:tc>
      </w:tr>
      <w:tr w:rsidR="003F2BD4" w:rsidRPr="003F2BD4" w14:paraId="1032900F" w14:textId="77777777" w:rsidTr="003F2BD4">
        <w:trPr>
          <w:trHeight w:val="315"/>
        </w:trPr>
        <w:tc>
          <w:tcPr>
            <w:tcW w:w="2830" w:type="dxa"/>
            <w:noWrap/>
            <w:hideMark/>
          </w:tcPr>
          <w:p w14:paraId="5A89ECDE" w14:textId="77777777" w:rsidR="003F2BD4" w:rsidRPr="003F2BD4" w:rsidRDefault="003F2BD4" w:rsidP="003F2BD4">
            <w:pPr>
              <w:pBdr>
                <w:top w:val="nil"/>
                <w:left w:val="nil"/>
                <w:bottom w:val="nil"/>
                <w:right w:val="nil"/>
                <w:between w:val="nil"/>
              </w:pBdr>
              <w:rPr>
                <w:sz w:val="22"/>
                <w:szCs w:val="22"/>
              </w:rPr>
            </w:pPr>
            <w:proofErr w:type="spellStart"/>
            <w:r w:rsidRPr="003F2BD4">
              <w:rPr>
                <w:sz w:val="22"/>
                <w:szCs w:val="22"/>
              </w:rPr>
              <w:t>Sheetfed</w:t>
            </w:r>
            <w:proofErr w:type="spellEnd"/>
          </w:p>
        </w:tc>
        <w:tc>
          <w:tcPr>
            <w:tcW w:w="1560" w:type="dxa"/>
            <w:noWrap/>
            <w:hideMark/>
          </w:tcPr>
          <w:p w14:paraId="7850D949" w14:textId="77777777" w:rsidR="003F2BD4" w:rsidRPr="003F2BD4" w:rsidRDefault="003F2BD4" w:rsidP="003F2BD4">
            <w:pPr>
              <w:pBdr>
                <w:top w:val="nil"/>
                <w:left w:val="nil"/>
                <w:bottom w:val="nil"/>
                <w:right w:val="nil"/>
                <w:between w:val="nil"/>
              </w:pBdr>
              <w:rPr>
                <w:sz w:val="22"/>
                <w:szCs w:val="22"/>
              </w:rPr>
            </w:pPr>
            <w:r w:rsidRPr="003F2BD4">
              <w:rPr>
                <w:sz w:val="22"/>
                <w:szCs w:val="22"/>
              </w:rPr>
              <w:t>29,8</w:t>
            </w:r>
          </w:p>
        </w:tc>
        <w:tc>
          <w:tcPr>
            <w:tcW w:w="1558" w:type="dxa"/>
            <w:noWrap/>
            <w:hideMark/>
          </w:tcPr>
          <w:p w14:paraId="50ACCC9D" w14:textId="77777777" w:rsidR="003F2BD4" w:rsidRPr="003F2BD4" w:rsidRDefault="003F2BD4" w:rsidP="003F2BD4">
            <w:pPr>
              <w:pBdr>
                <w:top w:val="nil"/>
                <w:left w:val="nil"/>
                <w:bottom w:val="nil"/>
                <w:right w:val="nil"/>
                <w:between w:val="nil"/>
              </w:pBdr>
              <w:rPr>
                <w:sz w:val="22"/>
                <w:szCs w:val="22"/>
              </w:rPr>
            </w:pPr>
            <w:r w:rsidRPr="003F2BD4">
              <w:rPr>
                <w:sz w:val="22"/>
                <w:szCs w:val="22"/>
              </w:rPr>
              <w:t>17,1</w:t>
            </w:r>
          </w:p>
        </w:tc>
      </w:tr>
      <w:tr w:rsidR="003F2BD4" w:rsidRPr="003F2BD4" w14:paraId="56A49FE8" w14:textId="77777777" w:rsidTr="003F2BD4">
        <w:trPr>
          <w:trHeight w:val="315"/>
        </w:trPr>
        <w:tc>
          <w:tcPr>
            <w:tcW w:w="2830" w:type="dxa"/>
            <w:noWrap/>
            <w:hideMark/>
          </w:tcPr>
          <w:p w14:paraId="7ECD4DF0" w14:textId="77777777" w:rsidR="003F2BD4" w:rsidRPr="003F2BD4" w:rsidRDefault="003F2BD4" w:rsidP="003F2BD4">
            <w:pPr>
              <w:pBdr>
                <w:top w:val="nil"/>
                <w:left w:val="nil"/>
                <w:bottom w:val="nil"/>
                <w:right w:val="nil"/>
                <w:between w:val="nil"/>
              </w:pBdr>
              <w:rPr>
                <w:i/>
                <w:iCs/>
                <w:sz w:val="22"/>
                <w:szCs w:val="22"/>
              </w:rPr>
            </w:pPr>
            <w:proofErr w:type="spellStart"/>
            <w:r w:rsidRPr="003F2BD4">
              <w:rPr>
                <w:i/>
                <w:iCs/>
                <w:sz w:val="22"/>
                <w:szCs w:val="22"/>
              </w:rPr>
              <w:t>Sondereinfluss</w:t>
            </w:r>
            <w:proofErr w:type="spellEnd"/>
            <w:r w:rsidRPr="003F2BD4">
              <w:rPr>
                <w:i/>
                <w:iCs/>
                <w:sz w:val="22"/>
                <w:szCs w:val="22"/>
              </w:rPr>
              <w:t xml:space="preserve"> Spotlight</w:t>
            </w:r>
          </w:p>
        </w:tc>
        <w:tc>
          <w:tcPr>
            <w:tcW w:w="1560" w:type="dxa"/>
            <w:noWrap/>
            <w:hideMark/>
          </w:tcPr>
          <w:p w14:paraId="2533DCC3" w14:textId="77777777" w:rsidR="003F2BD4" w:rsidRPr="003F2BD4" w:rsidRDefault="003F2BD4" w:rsidP="003F2BD4">
            <w:pPr>
              <w:pBdr>
                <w:top w:val="nil"/>
                <w:left w:val="nil"/>
                <w:bottom w:val="nil"/>
                <w:right w:val="nil"/>
                <w:between w:val="nil"/>
              </w:pBdr>
              <w:rPr>
                <w:i/>
                <w:iCs/>
                <w:sz w:val="22"/>
                <w:szCs w:val="22"/>
              </w:rPr>
            </w:pPr>
            <w:r w:rsidRPr="003F2BD4">
              <w:rPr>
                <w:i/>
                <w:iCs/>
                <w:sz w:val="22"/>
                <w:szCs w:val="22"/>
              </w:rPr>
              <w:t> </w:t>
            </w:r>
          </w:p>
        </w:tc>
        <w:tc>
          <w:tcPr>
            <w:tcW w:w="1558" w:type="dxa"/>
            <w:noWrap/>
            <w:hideMark/>
          </w:tcPr>
          <w:p w14:paraId="51A8DFF5" w14:textId="77777777" w:rsidR="003F2BD4" w:rsidRPr="003F2BD4" w:rsidRDefault="003F2BD4" w:rsidP="003F2BD4">
            <w:pPr>
              <w:pBdr>
                <w:top w:val="nil"/>
                <w:left w:val="nil"/>
                <w:bottom w:val="nil"/>
                <w:right w:val="nil"/>
                <w:between w:val="nil"/>
              </w:pBdr>
              <w:rPr>
                <w:i/>
                <w:iCs/>
                <w:sz w:val="22"/>
                <w:szCs w:val="22"/>
              </w:rPr>
            </w:pPr>
            <w:r w:rsidRPr="003F2BD4">
              <w:rPr>
                <w:i/>
                <w:iCs/>
                <w:sz w:val="22"/>
                <w:szCs w:val="22"/>
              </w:rPr>
              <w:t>--</w:t>
            </w:r>
          </w:p>
        </w:tc>
      </w:tr>
      <w:tr w:rsidR="003F2BD4" w:rsidRPr="003F2BD4" w14:paraId="66545C73" w14:textId="77777777" w:rsidTr="003F2BD4">
        <w:trPr>
          <w:trHeight w:val="315"/>
        </w:trPr>
        <w:tc>
          <w:tcPr>
            <w:tcW w:w="2830" w:type="dxa"/>
            <w:noWrap/>
            <w:hideMark/>
          </w:tcPr>
          <w:p w14:paraId="04976253" w14:textId="77777777" w:rsidR="003F2BD4" w:rsidRPr="003F2BD4" w:rsidRDefault="003F2BD4" w:rsidP="003F2BD4">
            <w:pPr>
              <w:pBdr>
                <w:top w:val="nil"/>
                <w:left w:val="nil"/>
                <w:bottom w:val="nil"/>
                <w:right w:val="nil"/>
                <w:between w:val="nil"/>
              </w:pBdr>
              <w:rPr>
                <w:i/>
                <w:iCs/>
                <w:sz w:val="22"/>
                <w:szCs w:val="22"/>
              </w:rPr>
            </w:pPr>
            <w:proofErr w:type="spellStart"/>
            <w:r w:rsidRPr="003F2BD4">
              <w:rPr>
                <w:i/>
                <w:iCs/>
                <w:sz w:val="22"/>
                <w:szCs w:val="22"/>
              </w:rPr>
              <w:t>Sondereffekt</w:t>
            </w:r>
            <w:proofErr w:type="spellEnd"/>
            <w:r w:rsidRPr="003F2BD4">
              <w:rPr>
                <w:i/>
                <w:iCs/>
                <w:sz w:val="22"/>
                <w:szCs w:val="22"/>
              </w:rPr>
              <w:t xml:space="preserve"> drupa</w:t>
            </w:r>
          </w:p>
        </w:tc>
        <w:tc>
          <w:tcPr>
            <w:tcW w:w="1560" w:type="dxa"/>
            <w:noWrap/>
            <w:hideMark/>
          </w:tcPr>
          <w:p w14:paraId="3EA3B1DD" w14:textId="77777777" w:rsidR="003F2BD4" w:rsidRPr="003F2BD4" w:rsidRDefault="003F2BD4" w:rsidP="003F2BD4">
            <w:pPr>
              <w:pBdr>
                <w:top w:val="nil"/>
                <w:left w:val="nil"/>
                <w:bottom w:val="nil"/>
                <w:right w:val="nil"/>
                <w:between w:val="nil"/>
              </w:pBdr>
              <w:rPr>
                <w:i/>
                <w:iCs/>
                <w:sz w:val="22"/>
                <w:szCs w:val="22"/>
              </w:rPr>
            </w:pPr>
            <w:r w:rsidRPr="003F2BD4">
              <w:rPr>
                <w:i/>
                <w:iCs/>
                <w:sz w:val="22"/>
                <w:szCs w:val="22"/>
              </w:rPr>
              <w:t> </w:t>
            </w:r>
          </w:p>
        </w:tc>
        <w:tc>
          <w:tcPr>
            <w:tcW w:w="1558" w:type="dxa"/>
            <w:noWrap/>
            <w:hideMark/>
          </w:tcPr>
          <w:p w14:paraId="28EB4F77" w14:textId="77777777" w:rsidR="003F2BD4" w:rsidRPr="003F2BD4" w:rsidRDefault="003F2BD4" w:rsidP="003F2BD4">
            <w:pPr>
              <w:pBdr>
                <w:top w:val="nil"/>
                <w:left w:val="nil"/>
                <w:bottom w:val="nil"/>
                <w:right w:val="nil"/>
                <w:between w:val="nil"/>
              </w:pBdr>
              <w:rPr>
                <w:i/>
                <w:iCs/>
                <w:sz w:val="22"/>
                <w:szCs w:val="22"/>
              </w:rPr>
            </w:pPr>
            <w:r w:rsidRPr="003F2BD4">
              <w:rPr>
                <w:i/>
                <w:iCs/>
                <w:sz w:val="22"/>
                <w:szCs w:val="22"/>
              </w:rPr>
              <w:t>7,2</w:t>
            </w:r>
          </w:p>
        </w:tc>
      </w:tr>
      <w:tr w:rsidR="003F2BD4" w:rsidRPr="003F2BD4" w14:paraId="28CE84B8" w14:textId="77777777" w:rsidTr="003F2BD4">
        <w:trPr>
          <w:trHeight w:val="315"/>
        </w:trPr>
        <w:tc>
          <w:tcPr>
            <w:tcW w:w="2830" w:type="dxa"/>
            <w:noWrap/>
            <w:hideMark/>
          </w:tcPr>
          <w:p w14:paraId="4D6B87E9" w14:textId="77777777" w:rsidR="003F2BD4" w:rsidRPr="003F2BD4" w:rsidRDefault="003F2BD4" w:rsidP="003F2BD4">
            <w:pPr>
              <w:pBdr>
                <w:top w:val="nil"/>
                <w:left w:val="nil"/>
                <w:bottom w:val="nil"/>
                <w:right w:val="nil"/>
                <w:between w:val="nil"/>
              </w:pBdr>
              <w:rPr>
                <w:sz w:val="22"/>
                <w:szCs w:val="22"/>
              </w:rPr>
            </w:pPr>
            <w:r w:rsidRPr="003F2BD4">
              <w:rPr>
                <w:sz w:val="22"/>
                <w:szCs w:val="22"/>
              </w:rPr>
              <w:t xml:space="preserve">Digital &amp; </w:t>
            </w:r>
            <w:proofErr w:type="spellStart"/>
            <w:r w:rsidRPr="003F2BD4">
              <w:rPr>
                <w:sz w:val="22"/>
                <w:szCs w:val="22"/>
              </w:rPr>
              <w:t>Webfed</w:t>
            </w:r>
            <w:proofErr w:type="spellEnd"/>
          </w:p>
        </w:tc>
        <w:tc>
          <w:tcPr>
            <w:tcW w:w="1560" w:type="dxa"/>
            <w:noWrap/>
            <w:hideMark/>
          </w:tcPr>
          <w:p w14:paraId="3149D135" w14:textId="77777777" w:rsidR="003F2BD4" w:rsidRPr="003F2BD4" w:rsidRDefault="003F2BD4" w:rsidP="003F2BD4">
            <w:pPr>
              <w:pBdr>
                <w:top w:val="nil"/>
                <w:left w:val="nil"/>
                <w:bottom w:val="nil"/>
                <w:right w:val="nil"/>
                <w:between w:val="nil"/>
              </w:pBdr>
              <w:rPr>
                <w:sz w:val="22"/>
                <w:szCs w:val="22"/>
              </w:rPr>
            </w:pPr>
            <w:r w:rsidRPr="003F2BD4">
              <w:rPr>
                <w:sz w:val="22"/>
                <w:szCs w:val="22"/>
              </w:rPr>
              <w:t>-23,9</w:t>
            </w:r>
          </w:p>
        </w:tc>
        <w:tc>
          <w:tcPr>
            <w:tcW w:w="1558" w:type="dxa"/>
            <w:noWrap/>
            <w:hideMark/>
          </w:tcPr>
          <w:p w14:paraId="77EBB6BE" w14:textId="77777777" w:rsidR="003F2BD4" w:rsidRPr="003F2BD4" w:rsidRDefault="003F2BD4" w:rsidP="003F2BD4">
            <w:pPr>
              <w:pBdr>
                <w:top w:val="nil"/>
                <w:left w:val="nil"/>
                <w:bottom w:val="nil"/>
                <w:right w:val="nil"/>
                <w:between w:val="nil"/>
              </w:pBdr>
              <w:rPr>
                <w:sz w:val="22"/>
                <w:szCs w:val="22"/>
              </w:rPr>
            </w:pPr>
            <w:r w:rsidRPr="003F2BD4">
              <w:rPr>
                <w:sz w:val="22"/>
                <w:szCs w:val="22"/>
              </w:rPr>
              <w:t>-53,3</w:t>
            </w:r>
          </w:p>
        </w:tc>
      </w:tr>
      <w:tr w:rsidR="003F2BD4" w:rsidRPr="003F2BD4" w14:paraId="1EE64EFC" w14:textId="77777777" w:rsidTr="003F2BD4">
        <w:trPr>
          <w:trHeight w:val="315"/>
        </w:trPr>
        <w:tc>
          <w:tcPr>
            <w:tcW w:w="2830" w:type="dxa"/>
            <w:noWrap/>
            <w:hideMark/>
          </w:tcPr>
          <w:p w14:paraId="15C65DB0" w14:textId="77777777" w:rsidR="003F2BD4" w:rsidRPr="003F2BD4" w:rsidRDefault="003F2BD4" w:rsidP="003F2BD4">
            <w:pPr>
              <w:pBdr>
                <w:top w:val="nil"/>
                <w:left w:val="nil"/>
                <w:bottom w:val="nil"/>
                <w:right w:val="nil"/>
                <w:between w:val="nil"/>
              </w:pBdr>
              <w:rPr>
                <w:i/>
                <w:iCs/>
                <w:sz w:val="22"/>
                <w:szCs w:val="22"/>
              </w:rPr>
            </w:pPr>
            <w:proofErr w:type="spellStart"/>
            <w:r w:rsidRPr="003F2BD4">
              <w:rPr>
                <w:i/>
                <w:iCs/>
                <w:sz w:val="22"/>
                <w:szCs w:val="22"/>
              </w:rPr>
              <w:t>Sondereinfluss</w:t>
            </w:r>
            <w:proofErr w:type="spellEnd"/>
            <w:r w:rsidRPr="003F2BD4">
              <w:rPr>
                <w:i/>
                <w:iCs/>
                <w:sz w:val="22"/>
                <w:szCs w:val="22"/>
              </w:rPr>
              <w:t xml:space="preserve"> Spotlight</w:t>
            </w:r>
          </w:p>
        </w:tc>
        <w:tc>
          <w:tcPr>
            <w:tcW w:w="1560" w:type="dxa"/>
            <w:noWrap/>
            <w:hideMark/>
          </w:tcPr>
          <w:p w14:paraId="7604F06B" w14:textId="77777777" w:rsidR="003F2BD4" w:rsidRPr="003F2BD4" w:rsidRDefault="003F2BD4" w:rsidP="003F2BD4">
            <w:pPr>
              <w:pBdr>
                <w:top w:val="nil"/>
                <w:left w:val="nil"/>
                <w:bottom w:val="nil"/>
                <w:right w:val="nil"/>
                <w:between w:val="nil"/>
              </w:pBdr>
              <w:rPr>
                <w:i/>
                <w:iCs/>
                <w:sz w:val="22"/>
                <w:szCs w:val="22"/>
              </w:rPr>
            </w:pPr>
            <w:r w:rsidRPr="003F2BD4">
              <w:rPr>
                <w:i/>
                <w:iCs/>
                <w:sz w:val="22"/>
                <w:szCs w:val="22"/>
              </w:rPr>
              <w:t> </w:t>
            </w:r>
          </w:p>
        </w:tc>
        <w:tc>
          <w:tcPr>
            <w:tcW w:w="1558" w:type="dxa"/>
            <w:noWrap/>
            <w:hideMark/>
          </w:tcPr>
          <w:p w14:paraId="36881DA7" w14:textId="77777777" w:rsidR="003F2BD4" w:rsidRPr="003F2BD4" w:rsidRDefault="003F2BD4" w:rsidP="003F2BD4">
            <w:pPr>
              <w:pBdr>
                <w:top w:val="nil"/>
                <w:left w:val="nil"/>
                <w:bottom w:val="nil"/>
                <w:right w:val="nil"/>
                <w:between w:val="nil"/>
              </w:pBdr>
              <w:rPr>
                <w:i/>
                <w:iCs/>
                <w:sz w:val="22"/>
                <w:szCs w:val="22"/>
              </w:rPr>
            </w:pPr>
            <w:r w:rsidRPr="003F2BD4">
              <w:rPr>
                <w:i/>
                <w:iCs/>
                <w:sz w:val="22"/>
                <w:szCs w:val="22"/>
              </w:rPr>
              <w:t>27,4</w:t>
            </w:r>
          </w:p>
        </w:tc>
      </w:tr>
      <w:tr w:rsidR="003F2BD4" w:rsidRPr="003F2BD4" w14:paraId="05B9EF5C" w14:textId="77777777" w:rsidTr="003F2BD4">
        <w:trPr>
          <w:trHeight w:val="315"/>
        </w:trPr>
        <w:tc>
          <w:tcPr>
            <w:tcW w:w="2830" w:type="dxa"/>
            <w:noWrap/>
            <w:hideMark/>
          </w:tcPr>
          <w:p w14:paraId="0470DFAF" w14:textId="77777777" w:rsidR="003F2BD4" w:rsidRPr="003F2BD4" w:rsidRDefault="003F2BD4" w:rsidP="003F2BD4">
            <w:pPr>
              <w:pBdr>
                <w:top w:val="nil"/>
                <w:left w:val="nil"/>
                <w:bottom w:val="nil"/>
                <w:right w:val="nil"/>
                <w:between w:val="nil"/>
              </w:pBdr>
              <w:rPr>
                <w:i/>
                <w:iCs/>
                <w:sz w:val="22"/>
                <w:szCs w:val="22"/>
              </w:rPr>
            </w:pPr>
            <w:proofErr w:type="spellStart"/>
            <w:r w:rsidRPr="003F2BD4">
              <w:rPr>
                <w:i/>
                <w:iCs/>
                <w:sz w:val="22"/>
                <w:szCs w:val="22"/>
              </w:rPr>
              <w:t>Sondereffekt</w:t>
            </w:r>
            <w:proofErr w:type="spellEnd"/>
            <w:r w:rsidRPr="003F2BD4">
              <w:rPr>
                <w:i/>
                <w:iCs/>
                <w:sz w:val="22"/>
                <w:szCs w:val="22"/>
              </w:rPr>
              <w:t xml:space="preserve"> drupa</w:t>
            </w:r>
          </w:p>
        </w:tc>
        <w:tc>
          <w:tcPr>
            <w:tcW w:w="1560" w:type="dxa"/>
            <w:noWrap/>
            <w:hideMark/>
          </w:tcPr>
          <w:p w14:paraId="7941F0A5" w14:textId="77777777" w:rsidR="003F2BD4" w:rsidRPr="003F2BD4" w:rsidRDefault="003F2BD4" w:rsidP="003F2BD4">
            <w:pPr>
              <w:pBdr>
                <w:top w:val="nil"/>
                <w:left w:val="nil"/>
                <w:bottom w:val="nil"/>
                <w:right w:val="nil"/>
                <w:between w:val="nil"/>
              </w:pBdr>
              <w:rPr>
                <w:i/>
                <w:iCs/>
                <w:sz w:val="22"/>
                <w:szCs w:val="22"/>
              </w:rPr>
            </w:pPr>
            <w:r w:rsidRPr="003F2BD4">
              <w:rPr>
                <w:i/>
                <w:iCs/>
                <w:sz w:val="22"/>
                <w:szCs w:val="22"/>
              </w:rPr>
              <w:t> </w:t>
            </w:r>
          </w:p>
        </w:tc>
        <w:tc>
          <w:tcPr>
            <w:tcW w:w="1558" w:type="dxa"/>
            <w:noWrap/>
            <w:hideMark/>
          </w:tcPr>
          <w:p w14:paraId="71B9F35B" w14:textId="77777777" w:rsidR="003F2BD4" w:rsidRPr="003F2BD4" w:rsidRDefault="003F2BD4" w:rsidP="003F2BD4">
            <w:pPr>
              <w:pBdr>
                <w:top w:val="nil"/>
                <w:left w:val="nil"/>
                <w:bottom w:val="nil"/>
                <w:right w:val="nil"/>
                <w:between w:val="nil"/>
              </w:pBdr>
              <w:rPr>
                <w:i/>
                <w:iCs/>
                <w:sz w:val="22"/>
                <w:szCs w:val="22"/>
              </w:rPr>
            </w:pPr>
            <w:r w:rsidRPr="003F2BD4">
              <w:rPr>
                <w:i/>
                <w:iCs/>
                <w:sz w:val="22"/>
                <w:szCs w:val="22"/>
              </w:rPr>
              <w:t>0,4</w:t>
            </w:r>
          </w:p>
        </w:tc>
      </w:tr>
      <w:tr w:rsidR="003F2BD4" w:rsidRPr="003F2BD4" w14:paraId="124309C5" w14:textId="77777777" w:rsidTr="003F2BD4">
        <w:trPr>
          <w:trHeight w:val="315"/>
        </w:trPr>
        <w:tc>
          <w:tcPr>
            <w:tcW w:w="2830" w:type="dxa"/>
            <w:noWrap/>
            <w:hideMark/>
          </w:tcPr>
          <w:p w14:paraId="4920554B" w14:textId="77777777" w:rsidR="003F2BD4" w:rsidRPr="003F2BD4" w:rsidRDefault="003F2BD4" w:rsidP="003F2BD4">
            <w:pPr>
              <w:pBdr>
                <w:top w:val="nil"/>
                <w:left w:val="nil"/>
                <w:bottom w:val="nil"/>
                <w:right w:val="nil"/>
                <w:between w:val="nil"/>
              </w:pBdr>
              <w:rPr>
                <w:sz w:val="22"/>
                <w:szCs w:val="22"/>
              </w:rPr>
            </w:pPr>
            <w:r w:rsidRPr="003F2BD4">
              <w:rPr>
                <w:sz w:val="22"/>
                <w:szCs w:val="22"/>
              </w:rPr>
              <w:t>Special</w:t>
            </w:r>
          </w:p>
        </w:tc>
        <w:tc>
          <w:tcPr>
            <w:tcW w:w="1560" w:type="dxa"/>
            <w:noWrap/>
            <w:hideMark/>
          </w:tcPr>
          <w:p w14:paraId="7874F2E9" w14:textId="77777777" w:rsidR="003F2BD4" w:rsidRPr="003F2BD4" w:rsidRDefault="003F2BD4" w:rsidP="003F2BD4">
            <w:pPr>
              <w:pBdr>
                <w:top w:val="nil"/>
                <w:left w:val="nil"/>
                <w:bottom w:val="nil"/>
                <w:right w:val="nil"/>
                <w:between w:val="nil"/>
              </w:pBdr>
              <w:rPr>
                <w:sz w:val="22"/>
                <w:szCs w:val="22"/>
              </w:rPr>
            </w:pPr>
            <w:r w:rsidRPr="003F2BD4">
              <w:rPr>
                <w:sz w:val="22"/>
                <w:szCs w:val="22"/>
              </w:rPr>
              <w:t>23,0</w:t>
            </w:r>
          </w:p>
        </w:tc>
        <w:tc>
          <w:tcPr>
            <w:tcW w:w="1558" w:type="dxa"/>
            <w:noWrap/>
            <w:hideMark/>
          </w:tcPr>
          <w:p w14:paraId="3997DE97" w14:textId="77777777" w:rsidR="003F2BD4" w:rsidRPr="003F2BD4" w:rsidRDefault="003F2BD4" w:rsidP="003F2BD4">
            <w:pPr>
              <w:pBdr>
                <w:top w:val="nil"/>
                <w:left w:val="nil"/>
                <w:bottom w:val="nil"/>
                <w:right w:val="nil"/>
                <w:between w:val="nil"/>
              </w:pBdr>
              <w:rPr>
                <w:sz w:val="22"/>
                <w:szCs w:val="22"/>
              </w:rPr>
            </w:pPr>
            <w:r w:rsidRPr="003F2BD4">
              <w:rPr>
                <w:sz w:val="22"/>
                <w:szCs w:val="22"/>
              </w:rPr>
              <w:t>-5,2</w:t>
            </w:r>
          </w:p>
        </w:tc>
      </w:tr>
      <w:tr w:rsidR="003F2BD4" w:rsidRPr="003F2BD4" w14:paraId="3E482F1B" w14:textId="77777777" w:rsidTr="003F2BD4">
        <w:trPr>
          <w:trHeight w:val="315"/>
        </w:trPr>
        <w:tc>
          <w:tcPr>
            <w:tcW w:w="2830" w:type="dxa"/>
            <w:noWrap/>
            <w:hideMark/>
          </w:tcPr>
          <w:p w14:paraId="30DA85E9" w14:textId="77777777" w:rsidR="003F2BD4" w:rsidRPr="003F2BD4" w:rsidRDefault="003F2BD4" w:rsidP="003F2BD4">
            <w:pPr>
              <w:pBdr>
                <w:top w:val="nil"/>
                <w:left w:val="nil"/>
                <w:bottom w:val="nil"/>
                <w:right w:val="nil"/>
                <w:between w:val="nil"/>
              </w:pBdr>
              <w:rPr>
                <w:i/>
                <w:iCs/>
                <w:sz w:val="22"/>
                <w:szCs w:val="22"/>
              </w:rPr>
            </w:pPr>
            <w:proofErr w:type="spellStart"/>
            <w:r w:rsidRPr="003F2BD4">
              <w:rPr>
                <w:i/>
                <w:iCs/>
                <w:sz w:val="22"/>
                <w:szCs w:val="22"/>
              </w:rPr>
              <w:t>Sondereinfluss</w:t>
            </w:r>
            <w:proofErr w:type="spellEnd"/>
            <w:r w:rsidRPr="003F2BD4">
              <w:rPr>
                <w:i/>
                <w:iCs/>
                <w:sz w:val="22"/>
                <w:szCs w:val="22"/>
              </w:rPr>
              <w:t xml:space="preserve"> Spotlight</w:t>
            </w:r>
          </w:p>
        </w:tc>
        <w:tc>
          <w:tcPr>
            <w:tcW w:w="1560" w:type="dxa"/>
            <w:noWrap/>
            <w:hideMark/>
          </w:tcPr>
          <w:p w14:paraId="4A501017" w14:textId="77777777" w:rsidR="003F2BD4" w:rsidRPr="003F2BD4" w:rsidRDefault="003F2BD4" w:rsidP="003F2BD4">
            <w:pPr>
              <w:pBdr>
                <w:top w:val="nil"/>
                <w:left w:val="nil"/>
                <w:bottom w:val="nil"/>
                <w:right w:val="nil"/>
                <w:between w:val="nil"/>
              </w:pBdr>
              <w:rPr>
                <w:i/>
                <w:iCs/>
                <w:sz w:val="22"/>
                <w:szCs w:val="22"/>
              </w:rPr>
            </w:pPr>
            <w:r w:rsidRPr="003F2BD4">
              <w:rPr>
                <w:i/>
                <w:iCs/>
                <w:sz w:val="22"/>
                <w:szCs w:val="22"/>
              </w:rPr>
              <w:t> </w:t>
            </w:r>
          </w:p>
        </w:tc>
        <w:tc>
          <w:tcPr>
            <w:tcW w:w="1558" w:type="dxa"/>
            <w:noWrap/>
            <w:hideMark/>
          </w:tcPr>
          <w:p w14:paraId="7C861107" w14:textId="77777777" w:rsidR="003F2BD4" w:rsidRPr="003F2BD4" w:rsidRDefault="003F2BD4" w:rsidP="003F2BD4">
            <w:pPr>
              <w:pBdr>
                <w:top w:val="nil"/>
                <w:left w:val="nil"/>
                <w:bottom w:val="nil"/>
                <w:right w:val="nil"/>
                <w:between w:val="nil"/>
              </w:pBdr>
              <w:rPr>
                <w:i/>
                <w:iCs/>
                <w:sz w:val="22"/>
                <w:szCs w:val="22"/>
              </w:rPr>
            </w:pPr>
            <w:r w:rsidRPr="003F2BD4">
              <w:rPr>
                <w:i/>
                <w:iCs/>
                <w:sz w:val="22"/>
                <w:szCs w:val="22"/>
              </w:rPr>
              <w:t>15,7</w:t>
            </w:r>
          </w:p>
        </w:tc>
      </w:tr>
      <w:tr w:rsidR="003F2BD4" w:rsidRPr="003F2BD4" w14:paraId="5DFC266F" w14:textId="77777777" w:rsidTr="003F2BD4">
        <w:trPr>
          <w:trHeight w:val="315"/>
        </w:trPr>
        <w:tc>
          <w:tcPr>
            <w:tcW w:w="2830" w:type="dxa"/>
            <w:noWrap/>
            <w:hideMark/>
          </w:tcPr>
          <w:p w14:paraId="7243F87F" w14:textId="77777777" w:rsidR="003F2BD4" w:rsidRPr="003F2BD4" w:rsidRDefault="003F2BD4" w:rsidP="003F2BD4">
            <w:pPr>
              <w:pBdr>
                <w:top w:val="nil"/>
                <w:left w:val="nil"/>
                <w:bottom w:val="nil"/>
                <w:right w:val="nil"/>
                <w:between w:val="nil"/>
              </w:pBdr>
              <w:rPr>
                <w:i/>
                <w:iCs/>
                <w:sz w:val="22"/>
                <w:szCs w:val="22"/>
              </w:rPr>
            </w:pPr>
            <w:proofErr w:type="spellStart"/>
            <w:r w:rsidRPr="003F2BD4">
              <w:rPr>
                <w:i/>
                <w:iCs/>
                <w:sz w:val="22"/>
                <w:szCs w:val="22"/>
              </w:rPr>
              <w:t>Sondereffekt</w:t>
            </w:r>
            <w:proofErr w:type="spellEnd"/>
            <w:r w:rsidRPr="003F2BD4">
              <w:rPr>
                <w:i/>
                <w:iCs/>
                <w:sz w:val="22"/>
                <w:szCs w:val="22"/>
              </w:rPr>
              <w:t xml:space="preserve"> drupa</w:t>
            </w:r>
          </w:p>
        </w:tc>
        <w:tc>
          <w:tcPr>
            <w:tcW w:w="1560" w:type="dxa"/>
            <w:noWrap/>
            <w:hideMark/>
          </w:tcPr>
          <w:p w14:paraId="34A10A3C" w14:textId="77777777" w:rsidR="003F2BD4" w:rsidRPr="003F2BD4" w:rsidRDefault="003F2BD4" w:rsidP="003F2BD4">
            <w:pPr>
              <w:pBdr>
                <w:top w:val="nil"/>
                <w:left w:val="nil"/>
                <w:bottom w:val="nil"/>
                <w:right w:val="nil"/>
                <w:between w:val="nil"/>
              </w:pBdr>
              <w:rPr>
                <w:i/>
                <w:iCs/>
                <w:sz w:val="22"/>
                <w:szCs w:val="22"/>
              </w:rPr>
            </w:pPr>
            <w:r w:rsidRPr="003F2BD4">
              <w:rPr>
                <w:i/>
                <w:iCs/>
                <w:sz w:val="22"/>
                <w:szCs w:val="22"/>
              </w:rPr>
              <w:t> </w:t>
            </w:r>
          </w:p>
        </w:tc>
        <w:tc>
          <w:tcPr>
            <w:tcW w:w="1558" w:type="dxa"/>
            <w:noWrap/>
            <w:hideMark/>
          </w:tcPr>
          <w:p w14:paraId="2112816E" w14:textId="77777777" w:rsidR="003F2BD4" w:rsidRPr="003F2BD4" w:rsidRDefault="003F2BD4" w:rsidP="003F2BD4">
            <w:pPr>
              <w:pBdr>
                <w:top w:val="nil"/>
                <w:left w:val="nil"/>
                <w:bottom w:val="nil"/>
                <w:right w:val="nil"/>
                <w:between w:val="nil"/>
              </w:pBdr>
              <w:rPr>
                <w:i/>
                <w:iCs/>
                <w:sz w:val="22"/>
                <w:szCs w:val="22"/>
              </w:rPr>
            </w:pPr>
            <w:r w:rsidRPr="003F2BD4">
              <w:rPr>
                <w:i/>
                <w:iCs/>
                <w:sz w:val="22"/>
                <w:szCs w:val="22"/>
              </w:rPr>
              <w:t>0,2</w:t>
            </w:r>
          </w:p>
        </w:tc>
      </w:tr>
      <w:tr w:rsidR="003F2BD4" w:rsidRPr="003F2BD4" w14:paraId="061F732E" w14:textId="77777777" w:rsidTr="003F2BD4">
        <w:trPr>
          <w:trHeight w:val="315"/>
        </w:trPr>
        <w:tc>
          <w:tcPr>
            <w:tcW w:w="2830" w:type="dxa"/>
            <w:noWrap/>
            <w:hideMark/>
          </w:tcPr>
          <w:p w14:paraId="2D5B697C" w14:textId="77777777" w:rsidR="003F2BD4" w:rsidRPr="003F2BD4" w:rsidRDefault="003F2BD4" w:rsidP="003F2BD4">
            <w:pPr>
              <w:pBdr>
                <w:top w:val="nil"/>
                <w:left w:val="nil"/>
                <w:bottom w:val="nil"/>
                <w:right w:val="nil"/>
                <w:between w:val="nil"/>
              </w:pBdr>
              <w:rPr>
                <w:sz w:val="22"/>
                <w:szCs w:val="22"/>
              </w:rPr>
            </w:pPr>
            <w:proofErr w:type="spellStart"/>
            <w:r w:rsidRPr="003F2BD4">
              <w:rPr>
                <w:sz w:val="22"/>
                <w:szCs w:val="22"/>
              </w:rPr>
              <w:t>Überleitung</w:t>
            </w:r>
            <w:proofErr w:type="spellEnd"/>
          </w:p>
        </w:tc>
        <w:tc>
          <w:tcPr>
            <w:tcW w:w="1560" w:type="dxa"/>
            <w:noWrap/>
            <w:hideMark/>
          </w:tcPr>
          <w:p w14:paraId="26EA88E0" w14:textId="77777777" w:rsidR="003F2BD4" w:rsidRPr="003F2BD4" w:rsidRDefault="003F2BD4" w:rsidP="003F2BD4">
            <w:pPr>
              <w:pBdr>
                <w:top w:val="nil"/>
                <w:left w:val="nil"/>
                <w:bottom w:val="nil"/>
                <w:right w:val="nil"/>
                <w:between w:val="nil"/>
              </w:pBdr>
              <w:rPr>
                <w:sz w:val="22"/>
                <w:szCs w:val="22"/>
              </w:rPr>
            </w:pPr>
            <w:r w:rsidRPr="003F2BD4">
              <w:rPr>
                <w:sz w:val="22"/>
                <w:szCs w:val="22"/>
              </w:rPr>
              <w:t>1,0</w:t>
            </w:r>
          </w:p>
        </w:tc>
        <w:tc>
          <w:tcPr>
            <w:tcW w:w="1558" w:type="dxa"/>
            <w:noWrap/>
            <w:hideMark/>
          </w:tcPr>
          <w:p w14:paraId="0E91B027" w14:textId="77777777" w:rsidR="003F2BD4" w:rsidRPr="003F2BD4" w:rsidRDefault="003F2BD4" w:rsidP="003F2BD4">
            <w:pPr>
              <w:pBdr>
                <w:top w:val="nil"/>
                <w:left w:val="nil"/>
                <w:bottom w:val="nil"/>
                <w:right w:val="nil"/>
                <w:between w:val="nil"/>
              </w:pBdr>
              <w:rPr>
                <w:sz w:val="22"/>
                <w:szCs w:val="22"/>
              </w:rPr>
            </w:pPr>
            <w:r w:rsidRPr="003F2BD4">
              <w:rPr>
                <w:sz w:val="22"/>
                <w:szCs w:val="22"/>
              </w:rPr>
              <w:t>6,3</w:t>
            </w:r>
          </w:p>
        </w:tc>
      </w:tr>
      <w:tr w:rsidR="003F2BD4" w:rsidRPr="003F2BD4" w14:paraId="1CE892B6" w14:textId="77777777" w:rsidTr="003F2BD4">
        <w:trPr>
          <w:trHeight w:val="315"/>
        </w:trPr>
        <w:tc>
          <w:tcPr>
            <w:tcW w:w="2830" w:type="dxa"/>
            <w:noWrap/>
            <w:hideMark/>
          </w:tcPr>
          <w:p w14:paraId="7F926939" w14:textId="6B9CA823" w:rsidR="003F2BD4" w:rsidRPr="003F2BD4" w:rsidRDefault="0035198F" w:rsidP="003F2BD4">
            <w:pPr>
              <w:pBdr>
                <w:top w:val="nil"/>
                <w:left w:val="nil"/>
                <w:bottom w:val="nil"/>
                <w:right w:val="nil"/>
                <w:between w:val="nil"/>
              </w:pBdr>
              <w:rPr>
                <w:i/>
                <w:iCs/>
                <w:sz w:val="22"/>
                <w:szCs w:val="22"/>
              </w:rPr>
            </w:pPr>
            <w:proofErr w:type="spellStart"/>
            <w:r>
              <w:rPr>
                <w:i/>
                <w:iCs/>
                <w:sz w:val="22"/>
                <w:szCs w:val="22"/>
              </w:rPr>
              <w:t>Sondereinfluss</w:t>
            </w:r>
            <w:proofErr w:type="spellEnd"/>
            <w:r w:rsidR="003F2BD4" w:rsidRPr="003F2BD4">
              <w:rPr>
                <w:i/>
                <w:iCs/>
                <w:sz w:val="22"/>
                <w:szCs w:val="22"/>
              </w:rPr>
              <w:t xml:space="preserve"> Spotlight</w:t>
            </w:r>
          </w:p>
        </w:tc>
        <w:tc>
          <w:tcPr>
            <w:tcW w:w="1560" w:type="dxa"/>
            <w:noWrap/>
            <w:hideMark/>
          </w:tcPr>
          <w:p w14:paraId="2EDBB4C8" w14:textId="77777777" w:rsidR="003F2BD4" w:rsidRPr="003F2BD4" w:rsidRDefault="003F2BD4" w:rsidP="003F2BD4">
            <w:pPr>
              <w:pBdr>
                <w:top w:val="nil"/>
                <w:left w:val="nil"/>
                <w:bottom w:val="nil"/>
                <w:right w:val="nil"/>
                <w:between w:val="nil"/>
              </w:pBdr>
              <w:rPr>
                <w:i/>
                <w:iCs/>
                <w:sz w:val="22"/>
                <w:szCs w:val="22"/>
              </w:rPr>
            </w:pPr>
            <w:r w:rsidRPr="003F2BD4">
              <w:rPr>
                <w:i/>
                <w:iCs/>
                <w:sz w:val="22"/>
                <w:szCs w:val="22"/>
              </w:rPr>
              <w:t> </w:t>
            </w:r>
          </w:p>
        </w:tc>
        <w:tc>
          <w:tcPr>
            <w:tcW w:w="1558" w:type="dxa"/>
            <w:noWrap/>
            <w:hideMark/>
          </w:tcPr>
          <w:p w14:paraId="3DB326E9" w14:textId="77777777" w:rsidR="003F2BD4" w:rsidRPr="003F2BD4" w:rsidRDefault="003F2BD4" w:rsidP="003F2BD4">
            <w:pPr>
              <w:pBdr>
                <w:top w:val="nil"/>
                <w:left w:val="nil"/>
                <w:bottom w:val="nil"/>
                <w:right w:val="nil"/>
                <w:between w:val="nil"/>
              </w:pBdr>
              <w:rPr>
                <w:i/>
                <w:iCs/>
                <w:sz w:val="22"/>
                <w:szCs w:val="22"/>
              </w:rPr>
            </w:pPr>
            <w:r w:rsidRPr="003F2BD4">
              <w:rPr>
                <w:i/>
                <w:iCs/>
                <w:sz w:val="22"/>
                <w:szCs w:val="22"/>
              </w:rPr>
              <w:t>7,3</w:t>
            </w:r>
          </w:p>
        </w:tc>
      </w:tr>
      <w:tr w:rsidR="003F2BD4" w:rsidRPr="003F2BD4" w14:paraId="0E86500B" w14:textId="77777777" w:rsidTr="003F2BD4">
        <w:trPr>
          <w:trHeight w:val="315"/>
        </w:trPr>
        <w:tc>
          <w:tcPr>
            <w:tcW w:w="2830" w:type="dxa"/>
            <w:noWrap/>
            <w:hideMark/>
          </w:tcPr>
          <w:p w14:paraId="21511055" w14:textId="77777777" w:rsidR="003F2BD4" w:rsidRPr="003F2BD4" w:rsidRDefault="003F2BD4" w:rsidP="003F2BD4">
            <w:pPr>
              <w:pBdr>
                <w:top w:val="nil"/>
                <w:left w:val="nil"/>
                <w:bottom w:val="nil"/>
                <w:right w:val="nil"/>
                <w:between w:val="nil"/>
              </w:pBdr>
              <w:rPr>
                <w:i/>
                <w:iCs/>
                <w:sz w:val="22"/>
                <w:szCs w:val="22"/>
              </w:rPr>
            </w:pPr>
            <w:proofErr w:type="spellStart"/>
            <w:r w:rsidRPr="003F2BD4">
              <w:rPr>
                <w:i/>
                <w:iCs/>
                <w:sz w:val="22"/>
                <w:szCs w:val="22"/>
              </w:rPr>
              <w:t>Sondereffekt</w:t>
            </w:r>
            <w:proofErr w:type="spellEnd"/>
            <w:r w:rsidRPr="003F2BD4">
              <w:rPr>
                <w:i/>
                <w:iCs/>
                <w:sz w:val="22"/>
                <w:szCs w:val="22"/>
              </w:rPr>
              <w:t xml:space="preserve"> drupa</w:t>
            </w:r>
          </w:p>
        </w:tc>
        <w:tc>
          <w:tcPr>
            <w:tcW w:w="1560" w:type="dxa"/>
            <w:noWrap/>
            <w:hideMark/>
          </w:tcPr>
          <w:p w14:paraId="3DEC59E8" w14:textId="77777777" w:rsidR="003F2BD4" w:rsidRPr="003F2BD4" w:rsidRDefault="003F2BD4" w:rsidP="003F2BD4">
            <w:pPr>
              <w:pBdr>
                <w:top w:val="nil"/>
                <w:left w:val="nil"/>
                <w:bottom w:val="nil"/>
                <w:right w:val="nil"/>
                <w:between w:val="nil"/>
              </w:pBdr>
              <w:rPr>
                <w:i/>
                <w:iCs/>
                <w:sz w:val="22"/>
                <w:szCs w:val="22"/>
              </w:rPr>
            </w:pPr>
            <w:r w:rsidRPr="003F2BD4">
              <w:rPr>
                <w:i/>
                <w:iCs/>
                <w:sz w:val="22"/>
                <w:szCs w:val="22"/>
              </w:rPr>
              <w:t> </w:t>
            </w:r>
          </w:p>
        </w:tc>
        <w:tc>
          <w:tcPr>
            <w:tcW w:w="1558" w:type="dxa"/>
            <w:noWrap/>
            <w:hideMark/>
          </w:tcPr>
          <w:p w14:paraId="2F41E8A2" w14:textId="77777777" w:rsidR="003F2BD4" w:rsidRPr="003F2BD4" w:rsidRDefault="003F2BD4" w:rsidP="003F2BD4">
            <w:pPr>
              <w:pBdr>
                <w:top w:val="nil"/>
                <w:left w:val="nil"/>
                <w:bottom w:val="nil"/>
                <w:right w:val="nil"/>
                <w:between w:val="nil"/>
              </w:pBdr>
              <w:rPr>
                <w:i/>
                <w:iCs/>
                <w:sz w:val="22"/>
                <w:szCs w:val="22"/>
              </w:rPr>
            </w:pPr>
            <w:r w:rsidRPr="003F2BD4">
              <w:rPr>
                <w:i/>
                <w:iCs/>
                <w:sz w:val="22"/>
                <w:szCs w:val="22"/>
              </w:rPr>
              <w:t>2,7</w:t>
            </w:r>
          </w:p>
        </w:tc>
      </w:tr>
      <w:tr w:rsidR="003F2BD4" w:rsidRPr="003F2BD4" w14:paraId="121A35CE" w14:textId="77777777" w:rsidTr="003F2BD4">
        <w:trPr>
          <w:trHeight w:val="315"/>
        </w:trPr>
        <w:tc>
          <w:tcPr>
            <w:tcW w:w="2830" w:type="dxa"/>
            <w:noWrap/>
            <w:hideMark/>
          </w:tcPr>
          <w:p w14:paraId="51B96A85" w14:textId="77777777" w:rsidR="003F2BD4" w:rsidRPr="003F2BD4" w:rsidRDefault="003F2BD4" w:rsidP="003F2BD4">
            <w:pPr>
              <w:pBdr>
                <w:top w:val="nil"/>
                <w:left w:val="nil"/>
                <w:bottom w:val="nil"/>
                <w:right w:val="nil"/>
                <w:between w:val="nil"/>
              </w:pBdr>
              <w:rPr>
                <w:b/>
                <w:bCs/>
                <w:sz w:val="22"/>
                <w:szCs w:val="22"/>
              </w:rPr>
            </w:pPr>
            <w:proofErr w:type="spellStart"/>
            <w:r w:rsidRPr="003F2BD4">
              <w:rPr>
                <w:b/>
                <w:bCs/>
                <w:sz w:val="22"/>
                <w:szCs w:val="22"/>
              </w:rPr>
              <w:t>Gesamt</w:t>
            </w:r>
            <w:proofErr w:type="spellEnd"/>
          </w:p>
        </w:tc>
        <w:tc>
          <w:tcPr>
            <w:tcW w:w="1560" w:type="dxa"/>
            <w:noWrap/>
            <w:hideMark/>
          </w:tcPr>
          <w:p w14:paraId="513856D1" w14:textId="77777777" w:rsidR="003F2BD4" w:rsidRPr="003F2BD4" w:rsidRDefault="003F2BD4" w:rsidP="003F2BD4">
            <w:pPr>
              <w:pBdr>
                <w:top w:val="nil"/>
                <w:left w:val="nil"/>
                <w:bottom w:val="nil"/>
                <w:right w:val="nil"/>
                <w:between w:val="nil"/>
              </w:pBdr>
              <w:rPr>
                <w:b/>
                <w:bCs/>
                <w:sz w:val="22"/>
                <w:szCs w:val="22"/>
              </w:rPr>
            </w:pPr>
            <w:r w:rsidRPr="003F2BD4">
              <w:rPr>
                <w:b/>
                <w:bCs/>
                <w:sz w:val="22"/>
                <w:szCs w:val="22"/>
              </w:rPr>
              <w:t>29,9</w:t>
            </w:r>
          </w:p>
        </w:tc>
        <w:tc>
          <w:tcPr>
            <w:tcW w:w="1558" w:type="dxa"/>
            <w:noWrap/>
            <w:hideMark/>
          </w:tcPr>
          <w:p w14:paraId="79677C58" w14:textId="77777777" w:rsidR="003F2BD4" w:rsidRPr="003F2BD4" w:rsidRDefault="003F2BD4" w:rsidP="003F2BD4">
            <w:pPr>
              <w:pBdr>
                <w:top w:val="nil"/>
                <w:left w:val="nil"/>
                <w:bottom w:val="nil"/>
                <w:right w:val="nil"/>
                <w:between w:val="nil"/>
              </w:pBdr>
              <w:rPr>
                <w:b/>
                <w:bCs/>
                <w:sz w:val="22"/>
                <w:szCs w:val="22"/>
              </w:rPr>
            </w:pPr>
            <w:r w:rsidRPr="003F2BD4">
              <w:rPr>
                <w:b/>
                <w:bCs/>
                <w:sz w:val="22"/>
                <w:szCs w:val="22"/>
              </w:rPr>
              <w:t>-35,1</w:t>
            </w:r>
          </w:p>
        </w:tc>
      </w:tr>
      <w:tr w:rsidR="003F2BD4" w:rsidRPr="003F2BD4" w14:paraId="0E52DE76" w14:textId="77777777" w:rsidTr="003F2BD4">
        <w:trPr>
          <w:trHeight w:val="315"/>
        </w:trPr>
        <w:tc>
          <w:tcPr>
            <w:tcW w:w="5948" w:type="dxa"/>
            <w:gridSpan w:val="3"/>
            <w:noWrap/>
            <w:hideMark/>
          </w:tcPr>
          <w:p w14:paraId="128EE0CD" w14:textId="77777777" w:rsidR="003F2BD4" w:rsidRPr="003F2BD4" w:rsidRDefault="003F2BD4" w:rsidP="003F2BD4">
            <w:pPr>
              <w:pBdr>
                <w:top w:val="nil"/>
                <w:left w:val="nil"/>
                <w:bottom w:val="nil"/>
                <w:right w:val="nil"/>
                <w:between w:val="nil"/>
              </w:pBdr>
              <w:rPr>
                <w:sz w:val="22"/>
                <w:szCs w:val="22"/>
              </w:rPr>
            </w:pPr>
            <w:r w:rsidRPr="003F2BD4">
              <w:rPr>
                <w:sz w:val="22"/>
                <w:szCs w:val="22"/>
              </w:rPr>
              <w:t> </w:t>
            </w:r>
          </w:p>
        </w:tc>
      </w:tr>
      <w:tr w:rsidR="003F2BD4" w:rsidRPr="00D06342" w14:paraId="04A640AA" w14:textId="77777777" w:rsidTr="003F2BD4">
        <w:trPr>
          <w:trHeight w:val="315"/>
        </w:trPr>
        <w:tc>
          <w:tcPr>
            <w:tcW w:w="5948" w:type="dxa"/>
            <w:gridSpan w:val="3"/>
            <w:noWrap/>
            <w:hideMark/>
          </w:tcPr>
          <w:p w14:paraId="1C2CFB02" w14:textId="77777777" w:rsidR="003F2BD4" w:rsidRPr="003F2BD4" w:rsidRDefault="003F2BD4" w:rsidP="003F2BD4">
            <w:pPr>
              <w:pBdr>
                <w:top w:val="nil"/>
                <w:left w:val="nil"/>
                <w:bottom w:val="nil"/>
                <w:right w:val="nil"/>
                <w:between w:val="nil"/>
              </w:pBdr>
              <w:rPr>
                <w:b/>
                <w:bCs/>
                <w:sz w:val="22"/>
                <w:szCs w:val="22"/>
                <w:lang w:val="de-DE"/>
              </w:rPr>
            </w:pPr>
            <w:r w:rsidRPr="003F2BD4">
              <w:rPr>
                <w:b/>
                <w:bCs/>
                <w:sz w:val="22"/>
                <w:szCs w:val="22"/>
                <w:lang w:val="de-DE"/>
              </w:rPr>
              <w:t>Operatives EBIT bereinigt um drupa</w:t>
            </w:r>
          </w:p>
        </w:tc>
      </w:tr>
      <w:tr w:rsidR="003F2BD4" w:rsidRPr="003F2BD4" w14:paraId="31E888DF" w14:textId="77777777" w:rsidTr="003F2BD4">
        <w:trPr>
          <w:trHeight w:val="315"/>
        </w:trPr>
        <w:tc>
          <w:tcPr>
            <w:tcW w:w="2830" w:type="dxa"/>
            <w:noWrap/>
            <w:hideMark/>
          </w:tcPr>
          <w:p w14:paraId="790B716D" w14:textId="77777777" w:rsidR="003F2BD4" w:rsidRPr="003F2BD4" w:rsidRDefault="003F2BD4" w:rsidP="003F2BD4">
            <w:pPr>
              <w:pBdr>
                <w:top w:val="nil"/>
                <w:left w:val="nil"/>
                <w:bottom w:val="nil"/>
                <w:right w:val="nil"/>
                <w:between w:val="nil"/>
              </w:pBdr>
              <w:rPr>
                <w:sz w:val="22"/>
                <w:szCs w:val="22"/>
              </w:rPr>
            </w:pPr>
            <w:proofErr w:type="spellStart"/>
            <w:r w:rsidRPr="003F2BD4">
              <w:rPr>
                <w:sz w:val="22"/>
                <w:szCs w:val="22"/>
              </w:rPr>
              <w:t>Sheetfed</w:t>
            </w:r>
            <w:proofErr w:type="spellEnd"/>
          </w:p>
        </w:tc>
        <w:tc>
          <w:tcPr>
            <w:tcW w:w="1560" w:type="dxa"/>
            <w:noWrap/>
            <w:hideMark/>
          </w:tcPr>
          <w:p w14:paraId="470B613A" w14:textId="77777777" w:rsidR="003F2BD4" w:rsidRPr="003F2BD4" w:rsidRDefault="003F2BD4" w:rsidP="003F2BD4">
            <w:pPr>
              <w:pBdr>
                <w:top w:val="nil"/>
                <w:left w:val="nil"/>
                <w:bottom w:val="nil"/>
                <w:right w:val="nil"/>
                <w:between w:val="nil"/>
              </w:pBdr>
              <w:rPr>
                <w:sz w:val="22"/>
                <w:szCs w:val="22"/>
              </w:rPr>
            </w:pPr>
            <w:r w:rsidRPr="003F2BD4">
              <w:rPr>
                <w:sz w:val="22"/>
                <w:szCs w:val="22"/>
              </w:rPr>
              <w:t>29,8</w:t>
            </w:r>
          </w:p>
        </w:tc>
        <w:tc>
          <w:tcPr>
            <w:tcW w:w="1558" w:type="dxa"/>
            <w:noWrap/>
            <w:hideMark/>
          </w:tcPr>
          <w:p w14:paraId="1A9DC703" w14:textId="77777777" w:rsidR="003F2BD4" w:rsidRPr="003F2BD4" w:rsidRDefault="003F2BD4" w:rsidP="003F2BD4">
            <w:pPr>
              <w:pBdr>
                <w:top w:val="nil"/>
                <w:left w:val="nil"/>
                <w:bottom w:val="nil"/>
                <w:right w:val="nil"/>
                <w:between w:val="nil"/>
              </w:pBdr>
              <w:rPr>
                <w:sz w:val="22"/>
                <w:szCs w:val="22"/>
              </w:rPr>
            </w:pPr>
            <w:r w:rsidRPr="003F2BD4">
              <w:rPr>
                <w:sz w:val="22"/>
                <w:szCs w:val="22"/>
              </w:rPr>
              <w:t>24,3</w:t>
            </w:r>
          </w:p>
        </w:tc>
      </w:tr>
      <w:tr w:rsidR="003F2BD4" w:rsidRPr="003F2BD4" w14:paraId="04D000D7" w14:textId="77777777" w:rsidTr="003F2BD4">
        <w:trPr>
          <w:trHeight w:val="315"/>
        </w:trPr>
        <w:tc>
          <w:tcPr>
            <w:tcW w:w="2830" w:type="dxa"/>
            <w:noWrap/>
            <w:hideMark/>
          </w:tcPr>
          <w:p w14:paraId="40D79121" w14:textId="77777777" w:rsidR="003F2BD4" w:rsidRPr="003F2BD4" w:rsidRDefault="003F2BD4" w:rsidP="003F2BD4">
            <w:pPr>
              <w:pBdr>
                <w:top w:val="nil"/>
                <w:left w:val="nil"/>
                <w:bottom w:val="nil"/>
                <w:right w:val="nil"/>
                <w:between w:val="nil"/>
              </w:pBdr>
              <w:rPr>
                <w:sz w:val="22"/>
                <w:szCs w:val="22"/>
              </w:rPr>
            </w:pPr>
            <w:r w:rsidRPr="003F2BD4">
              <w:rPr>
                <w:sz w:val="22"/>
                <w:szCs w:val="22"/>
              </w:rPr>
              <w:t xml:space="preserve">Digital &amp; </w:t>
            </w:r>
            <w:proofErr w:type="spellStart"/>
            <w:r w:rsidRPr="003F2BD4">
              <w:rPr>
                <w:sz w:val="22"/>
                <w:szCs w:val="22"/>
              </w:rPr>
              <w:t>Webfed</w:t>
            </w:r>
            <w:proofErr w:type="spellEnd"/>
          </w:p>
        </w:tc>
        <w:tc>
          <w:tcPr>
            <w:tcW w:w="1560" w:type="dxa"/>
            <w:noWrap/>
            <w:hideMark/>
          </w:tcPr>
          <w:p w14:paraId="28E768B8" w14:textId="77777777" w:rsidR="003F2BD4" w:rsidRPr="003F2BD4" w:rsidRDefault="003F2BD4" w:rsidP="003F2BD4">
            <w:pPr>
              <w:pBdr>
                <w:top w:val="nil"/>
                <w:left w:val="nil"/>
                <w:bottom w:val="nil"/>
                <w:right w:val="nil"/>
                <w:between w:val="nil"/>
              </w:pBdr>
              <w:rPr>
                <w:sz w:val="22"/>
                <w:szCs w:val="22"/>
              </w:rPr>
            </w:pPr>
            <w:r w:rsidRPr="003F2BD4">
              <w:rPr>
                <w:sz w:val="22"/>
                <w:szCs w:val="22"/>
              </w:rPr>
              <w:t>-23,9</w:t>
            </w:r>
          </w:p>
        </w:tc>
        <w:tc>
          <w:tcPr>
            <w:tcW w:w="1558" w:type="dxa"/>
            <w:noWrap/>
            <w:hideMark/>
          </w:tcPr>
          <w:p w14:paraId="50A92A7E" w14:textId="77777777" w:rsidR="003F2BD4" w:rsidRPr="003F2BD4" w:rsidRDefault="003F2BD4" w:rsidP="003F2BD4">
            <w:pPr>
              <w:pBdr>
                <w:top w:val="nil"/>
                <w:left w:val="nil"/>
                <w:bottom w:val="nil"/>
                <w:right w:val="nil"/>
                <w:between w:val="nil"/>
              </w:pBdr>
              <w:rPr>
                <w:sz w:val="22"/>
                <w:szCs w:val="22"/>
              </w:rPr>
            </w:pPr>
            <w:r w:rsidRPr="003F2BD4">
              <w:rPr>
                <w:sz w:val="22"/>
                <w:szCs w:val="22"/>
              </w:rPr>
              <w:t>-25,5</w:t>
            </w:r>
          </w:p>
        </w:tc>
      </w:tr>
      <w:tr w:rsidR="003F2BD4" w:rsidRPr="003F2BD4" w14:paraId="1450B3D1" w14:textId="77777777" w:rsidTr="003F2BD4">
        <w:trPr>
          <w:trHeight w:val="315"/>
        </w:trPr>
        <w:tc>
          <w:tcPr>
            <w:tcW w:w="2830" w:type="dxa"/>
            <w:noWrap/>
            <w:hideMark/>
          </w:tcPr>
          <w:p w14:paraId="3ABCDC26" w14:textId="77777777" w:rsidR="003F2BD4" w:rsidRPr="003F2BD4" w:rsidRDefault="003F2BD4" w:rsidP="003F2BD4">
            <w:pPr>
              <w:pBdr>
                <w:top w:val="nil"/>
                <w:left w:val="nil"/>
                <w:bottom w:val="nil"/>
                <w:right w:val="nil"/>
                <w:between w:val="nil"/>
              </w:pBdr>
              <w:rPr>
                <w:sz w:val="22"/>
                <w:szCs w:val="22"/>
              </w:rPr>
            </w:pPr>
            <w:r w:rsidRPr="003F2BD4">
              <w:rPr>
                <w:sz w:val="22"/>
                <w:szCs w:val="22"/>
              </w:rPr>
              <w:t>Special</w:t>
            </w:r>
          </w:p>
        </w:tc>
        <w:tc>
          <w:tcPr>
            <w:tcW w:w="1560" w:type="dxa"/>
            <w:noWrap/>
            <w:hideMark/>
          </w:tcPr>
          <w:p w14:paraId="7A565F70" w14:textId="77777777" w:rsidR="003F2BD4" w:rsidRPr="003F2BD4" w:rsidRDefault="003F2BD4" w:rsidP="003F2BD4">
            <w:pPr>
              <w:pBdr>
                <w:top w:val="nil"/>
                <w:left w:val="nil"/>
                <w:bottom w:val="nil"/>
                <w:right w:val="nil"/>
                <w:between w:val="nil"/>
              </w:pBdr>
              <w:rPr>
                <w:sz w:val="22"/>
                <w:szCs w:val="22"/>
              </w:rPr>
            </w:pPr>
            <w:r w:rsidRPr="003F2BD4">
              <w:rPr>
                <w:sz w:val="22"/>
                <w:szCs w:val="22"/>
              </w:rPr>
              <w:t>23,0</w:t>
            </w:r>
          </w:p>
        </w:tc>
        <w:tc>
          <w:tcPr>
            <w:tcW w:w="1558" w:type="dxa"/>
            <w:noWrap/>
            <w:hideMark/>
          </w:tcPr>
          <w:p w14:paraId="5E985062" w14:textId="77777777" w:rsidR="003F2BD4" w:rsidRPr="003F2BD4" w:rsidRDefault="003F2BD4" w:rsidP="003F2BD4">
            <w:pPr>
              <w:pBdr>
                <w:top w:val="nil"/>
                <w:left w:val="nil"/>
                <w:bottom w:val="nil"/>
                <w:right w:val="nil"/>
                <w:between w:val="nil"/>
              </w:pBdr>
              <w:rPr>
                <w:sz w:val="22"/>
                <w:szCs w:val="22"/>
              </w:rPr>
            </w:pPr>
            <w:r w:rsidRPr="003F2BD4">
              <w:rPr>
                <w:sz w:val="22"/>
                <w:szCs w:val="22"/>
              </w:rPr>
              <w:t>10,7</w:t>
            </w:r>
          </w:p>
        </w:tc>
      </w:tr>
      <w:tr w:rsidR="003F2BD4" w:rsidRPr="003F2BD4" w14:paraId="3FA90CB6" w14:textId="77777777" w:rsidTr="003F2BD4">
        <w:trPr>
          <w:trHeight w:val="315"/>
        </w:trPr>
        <w:tc>
          <w:tcPr>
            <w:tcW w:w="2830" w:type="dxa"/>
            <w:noWrap/>
            <w:hideMark/>
          </w:tcPr>
          <w:p w14:paraId="770F2832" w14:textId="77777777" w:rsidR="003F2BD4" w:rsidRPr="003F2BD4" w:rsidRDefault="003F2BD4" w:rsidP="003F2BD4">
            <w:pPr>
              <w:pBdr>
                <w:top w:val="nil"/>
                <w:left w:val="nil"/>
                <w:bottom w:val="nil"/>
                <w:right w:val="nil"/>
                <w:between w:val="nil"/>
              </w:pBdr>
              <w:rPr>
                <w:sz w:val="22"/>
                <w:szCs w:val="22"/>
              </w:rPr>
            </w:pPr>
            <w:proofErr w:type="spellStart"/>
            <w:r w:rsidRPr="003F2BD4">
              <w:rPr>
                <w:sz w:val="22"/>
                <w:szCs w:val="22"/>
              </w:rPr>
              <w:t>Überleitung</w:t>
            </w:r>
            <w:proofErr w:type="spellEnd"/>
          </w:p>
        </w:tc>
        <w:tc>
          <w:tcPr>
            <w:tcW w:w="1560" w:type="dxa"/>
            <w:noWrap/>
            <w:hideMark/>
          </w:tcPr>
          <w:p w14:paraId="1B860D1D" w14:textId="77777777" w:rsidR="003F2BD4" w:rsidRPr="003F2BD4" w:rsidRDefault="003F2BD4" w:rsidP="003F2BD4">
            <w:pPr>
              <w:pBdr>
                <w:top w:val="nil"/>
                <w:left w:val="nil"/>
                <w:bottom w:val="nil"/>
                <w:right w:val="nil"/>
                <w:between w:val="nil"/>
              </w:pBdr>
              <w:rPr>
                <w:sz w:val="22"/>
                <w:szCs w:val="22"/>
              </w:rPr>
            </w:pPr>
            <w:r w:rsidRPr="003F2BD4">
              <w:rPr>
                <w:sz w:val="22"/>
                <w:szCs w:val="22"/>
              </w:rPr>
              <w:t>1,0</w:t>
            </w:r>
          </w:p>
        </w:tc>
        <w:tc>
          <w:tcPr>
            <w:tcW w:w="1558" w:type="dxa"/>
            <w:noWrap/>
            <w:hideMark/>
          </w:tcPr>
          <w:p w14:paraId="00B1CA43" w14:textId="441317F8" w:rsidR="003F2BD4" w:rsidRPr="003F2BD4" w:rsidRDefault="00C466D8" w:rsidP="003F2BD4">
            <w:pPr>
              <w:pBdr>
                <w:top w:val="nil"/>
                <w:left w:val="nil"/>
                <w:bottom w:val="nil"/>
                <w:right w:val="nil"/>
                <w:between w:val="nil"/>
              </w:pBdr>
              <w:rPr>
                <w:sz w:val="22"/>
                <w:szCs w:val="22"/>
              </w:rPr>
            </w:pPr>
            <w:r>
              <w:rPr>
                <w:sz w:val="22"/>
                <w:szCs w:val="22"/>
              </w:rPr>
              <w:t>16,3</w:t>
            </w:r>
          </w:p>
        </w:tc>
      </w:tr>
      <w:tr w:rsidR="003F2BD4" w:rsidRPr="003F2BD4" w14:paraId="6DB32180" w14:textId="77777777" w:rsidTr="003F2BD4">
        <w:trPr>
          <w:trHeight w:val="315"/>
        </w:trPr>
        <w:tc>
          <w:tcPr>
            <w:tcW w:w="2830" w:type="dxa"/>
            <w:noWrap/>
            <w:hideMark/>
          </w:tcPr>
          <w:p w14:paraId="53596793" w14:textId="77777777" w:rsidR="003F2BD4" w:rsidRPr="003F2BD4" w:rsidRDefault="003F2BD4" w:rsidP="003F2BD4">
            <w:pPr>
              <w:pBdr>
                <w:top w:val="nil"/>
                <w:left w:val="nil"/>
                <w:bottom w:val="nil"/>
                <w:right w:val="nil"/>
                <w:between w:val="nil"/>
              </w:pBdr>
              <w:rPr>
                <w:b/>
                <w:bCs/>
                <w:sz w:val="22"/>
                <w:szCs w:val="22"/>
              </w:rPr>
            </w:pPr>
            <w:proofErr w:type="spellStart"/>
            <w:r w:rsidRPr="003F2BD4">
              <w:rPr>
                <w:b/>
                <w:bCs/>
                <w:sz w:val="22"/>
                <w:szCs w:val="22"/>
              </w:rPr>
              <w:t>Gesamt</w:t>
            </w:r>
            <w:proofErr w:type="spellEnd"/>
          </w:p>
        </w:tc>
        <w:tc>
          <w:tcPr>
            <w:tcW w:w="1560" w:type="dxa"/>
            <w:noWrap/>
            <w:hideMark/>
          </w:tcPr>
          <w:p w14:paraId="27E76651" w14:textId="77777777" w:rsidR="003F2BD4" w:rsidRPr="003F2BD4" w:rsidRDefault="003F2BD4" w:rsidP="003F2BD4">
            <w:pPr>
              <w:pBdr>
                <w:top w:val="nil"/>
                <w:left w:val="nil"/>
                <w:bottom w:val="nil"/>
                <w:right w:val="nil"/>
                <w:between w:val="nil"/>
              </w:pBdr>
              <w:rPr>
                <w:b/>
                <w:bCs/>
                <w:sz w:val="22"/>
                <w:szCs w:val="22"/>
              </w:rPr>
            </w:pPr>
            <w:r w:rsidRPr="003F2BD4">
              <w:rPr>
                <w:b/>
                <w:bCs/>
                <w:sz w:val="22"/>
                <w:szCs w:val="22"/>
              </w:rPr>
              <w:t>29,9</w:t>
            </w:r>
          </w:p>
        </w:tc>
        <w:tc>
          <w:tcPr>
            <w:tcW w:w="1558" w:type="dxa"/>
            <w:noWrap/>
            <w:hideMark/>
          </w:tcPr>
          <w:p w14:paraId="734D0B30" w14:textId="77777777" w:rsidR="003F2BD4" w:rsidRPr="003F2BD4" w:rsidRDefault="003F2BD4" w:rsidP="003F2BD4">
            <w:pPr>
              <w:pBdr>
                <w:top w:val="nil"/>
                <w:left w:val="nil"/>
                <w:bottom w:val="nil"/>
                <w:right w:val="nil"/>
                <w:between w:val="nil"/>
              </w:pBdr>
              <w:rPr>
                <w:b/>
                <w:bCs/>
                <w:sz w:val="22"/>
                <w:szCs w:val="22"/>
              </w:rPr>
            </w:pPr>
            <w:r w:rsidRPr="003F2BD4">
              <w:rPr>
                <w:b/>
                <w:bCs/>
                <w:sz w:val="22"/>
                <w:szCs w:val="22"/>
              </w:rPr>
              <w:t>25,8</w:t>
            </w:r>
          </w:p>
        </w:tc>
      </w:tr>
    </w:tbl>
    <w:p w14:paraId="4D436822" w14:textId="6BF01A0C" w:rsidR="00A56C37" w:rsidRDefault="00A56C37" w:rsidP="00A56C37">
      <w:pPr>
        <w:pBdr>
          <w:top w:val="nil"/>
          <w:left w:val="nil"/>
          <w:bottom w:val="nil"/>
          <w:right w:val="nil"/>
          <w:between w:val="nil"/>
        </w:pBdr>
        <w:rPr>
          <w:sz w:val="22"/>
          <w:szCs w:val="22"/>
          <w:lang w:val="de-DE"/>
        </w:rPr>
      </w:pPr>
    </w:p>
    <w:p w14:paraId="39B50BF2" w14:textId="21016319" w:rsidR="00A907B4" w:rsidRPr="003B55F6" w:rsidRDefault="003B55F6" w:rsidP="00A56C37">
      <w:pPr>
        <w:pBdr>
          <w:top w:val="nil"/>
          <w:left w:val="nil"/>
          <w:bottom w:val="nil"/>
          <w:right w:val="nil"/>
          <w:between w:val="nil"/>
        </w:pBdr>
        <w:rPr>
          <w:sz w:val="22"/>
          <w:szCs w:val="22"/>
          <w:lang w:val="de-DE"/>
        </w:rPr>
      </w:pPr>
      <w:r w:rsidRPr="003B55F6">
        <w:rPr>
          <w:sz w:val="22"/>
          <w:szCs w:val="22"/>
          <w:lang w:val="de-DE"/>
        </w:rPr>
        <w:t>Ansprechpartner für Investor Relations</w:t>
      </w:r>
    </w:p>
    <w:p w14:paraId="7198146F" w14:textId="77777777" w:rsidR="00A907B4" w:rsidRPr="003B55F6" w:rsidRDefault="003B55F6">
      <w:pPr>
        <w:spacing w:before="240"/>
        <w:rPr>
          <w:color w:val="0000FF"/>
          <w:lang w:val="de-DE"/>
        </w:rPr>
      </w:pPr>
      <w:r w:rsidRPr="003B55F6">
        <w:rPr>
          <w:lang w:val="de-DE"/>
        </w:rPr>
        <w:t>Koenig &amp; Bauer AG</w:t>
      </w:r>
      <w:r w:rsidRPr="003B55F6">
        <w:rPr>
          <w:lang w:val="de-DE"/>
        </w:rPr>
        <w:br/>
        <w:t xml:space="preserve">Lena </w:t>
      </w:r>
      <w:proofErr w:type="spellStart"/>
      <w:r w:rsidRPr="003B55F6">
        <w:rPr>
          <w:lang w:val="de-DE"/>
        </w:rPr>
        <w:t>Landenberger</w:t>
      </w:r>
      <w:proofErr w:type="spellEnd"/>
      <w:r w:rsidRPr="003B55F6">
        <w:rPr>
          <w:lang w:val="de-DE"/>
        </w:rPr>
        <w:br/>
        <w:t>T +49 931 909-4085</w:t>
      </w:r>
      <w:r w:rsidRPr="003B55F6">
        <w:rPr>
          <w:lang w:val="de-DE"/>
        </w:rPr>
        <w:br/>
        <w:t xml:space="preserve">M </w:t>
      </w:r>
      <w:r w:rsidRPr="003B55F6">
        <w:rPr>
          <w:color w:val="0000FF"/>
          <w:lang w:val="de-DE"/>
        </w:rPr>
        <w:t>lena.landenberger@koenig-bauer.com</w:t>
      </w:r>
    </w:p>
    <w:p w14:paraId="3BF4B39F" w14:textId="77777777" w:rsidR="00A907B4" w:rsidRPr="003B55F6" w:rsidRDefault="00A907B4">
      <w:pPr>
        <w:rPr>
          <w:lang w:val="de-DE"/>
        </w:rPr>
      </w:pPr>
    </w:p>
    <w:p w14:paraId="359BACCF" w14:textId="77777777" w:rsidR="00A907B4" w:rsidRPr="003B55F6" w:rsidRDefault="003B55F6">
      <w:pPr>
        <w:pBdr>
          <w:top w:val="nil"/>
          <w:left w:val="nil"/>
          <w:bottom w:val="nil"/>
          <w:right w:val="nil"/>
          <w:between w:val="nil"/>
        </w:pBdr>
        <w:shd w:val="clear" w:color="auto" w:fill="FFFFFF"/>
        <w:spacing w:line="250" w:lineRule="auto"/>
        <w:rPr>
          <w:highlight w:val="white"/>
          <w:lang w:val="de-DE"/>
        </w:rPr>
      </w:pPr>
      <w:r w:rsidRPr="003B55F6">
        <w:rPr>
          <w:b/>
          <w:lang w:val="de-DE"/>
        </w:rPr>
        <w:t>Über Koenig &amp; Bauer</w:t>
      </w:r>
      <w:r w:rsidRPr="003B55F6">
        <w:rPr>
          <w:lang w:val="de-DE"/>
        </w:rPr>
        <w:br/>
      </w:r>
      <w:r w:rsidRPr="003B55F6">
        <w:rPr>
          <w:highlight w:val="white"/>
          <w:lang w:val="de-DE"/>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w:t>
      </w:r>
      <w:r w:rsidRPr="003B55F6">
        <w:rPr>
          <w:highlight w:val="white"/>
          <w:lang w:val="de-DE"/>
        </w:rPr>
        <w:lastRenderedPageBreak/>
        <w:t>Europa und unterhält ein weltweites Vertriebs- und Servicenetzwerk. Der Jahresumsatz im Geschäftsjahr 2023 lag bei rund 1,3 Milliarden Euro.</w:t>
      </w:r>
    </w:p>
    <w:p w14:paraId="55B60728" w14:textId="06D594F3" w:rsidR="00A907B4" w:rsidRPr="003B55F6" w:rsidRDefault="003B55F6" w:rsidP="00D01F5C">
      <w:pPr>
        <w:pBdr>
          <w:top w:val="nil"/>
          <w:left w:val="nil"/>
          <w:bottom w:val="nil"/>
          <w:right w:val="nil"/>
          <w:between w:val="nil"/>
        </w:pBdr>
        <w:shd w:val="clear" w:color="auto" w:fill="FFFFFF"/>
        <w:spacing w:line="250" w:lineRule="auto"/>
        <w:rPr>
          <w:lang w:val="de-DE"/>
        </w:rPr>
      </w:pPr>
      <w:r w:rsidRPr="003B55F6">
        <w:rPr>
          <w:highlight w:val="white"/>
          <w:lang w:val="de-DE"/>
        </w:rPr>
        <w:t xml:space="preserve">Weitere Informationen unter </w:t>
      </w:r>
      <w:hyperlink r:id="rId12">
        <w:r w:rsidRPr="003B55F6">
          <w:rPr>
            <w:color w:val="1155CC"/>
            <w:highlight w:val="white"/>
            <w:u w:val="single"/>
            <w:lang w:val="de-DE"/>
          </w:rPr>
          <w:t>www.koenig-bauer.com</w:t>
        </w:r>
      </w:hyperlink>
    </w:p>
    <w:sectPr w:rsidR="00A907B4" w:rsidRPr="003B55F6">
      <w:headerReference w:type="even" r:id="rId13"/>
      <w:headerReference w:type="default" r:id="rId14"/>
      <w:footerReference w:type="even" r:id="rId15"/>
      <w:footerReference w:type="default" r:id="rId16"/>
      <w:headerReference w:type="first" r:id="rId17"/>
      <w:footerReference w:type="first" r:id="rId18"/>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9A479" w14:textId="77777777" w:rsidR="00B64462" w:rsidRDefault="00B64462">
      <w:pPr>
        <w:spacing w:after="0" w:line="240" w:lineRule="auto"/>
      </w:pPr>
      <w:r>
        <w:separator/>
      </w:r>
    </w:p>
  </w:endnote>
  <w:endnote w:type="continuationSeparator" w:id="0">
    <w:p w14:paraId="664C2D78" w14:textId="77777777" w:rsidR="00B64462" w:rsidRDefault="00B64462">
      <w:pPr>
        <w:spacing w:after="0" w:line="240" w:lineRule="auto"/>
      </w:pPr>
      <w:r>
        <w:continuationSeparator/>
      </w:r>
    </w:p>
  </w:endnote>
  <w:endnote w:type="continuationNotice" w:id="1">
    <w:p w14:paraId="2F89155D" w14:textId="77777777" w:rsidR="00B64462" w:rsidRDefault="00B644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2E9A0" w14:textId="77777777" w:rsidR="00B64462" w:rsidRDefault="00B64462">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E9C7" w14:textId="77777777" w:rsidR="00B64462" w:rsidRDefault="00B64462">
    <w:pPr>
      <w:widowControl w:val="0"/>
      <w:pBdr>
        <w:top w:val="nil"/>
        <w:left w:val="nil"/>
        <w:bottom w:val="nil"/>
        <w:right w:val="nil"/>
        <w:between w:val="nil"/>
      </w:pBdr>
      <w:spacing w:after="0"/>
      <w:rPr>
        <w:color w:val="000000"/>
        <w:sz w:val="14"/>
        <w:szCs w:val="14"/>
      </w:rPr>
    </w:pPr>
  </w:p>
  <w:tbl>
    <w:tblPr>
      <w:tblStyle w:val="a5"/>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B64462" w14:paraId="4525DF8D" w14:textId="77777777">
      <w:tc>
        <w:tcPr>
          <w:tcW w:w="4530" w:type="dxa"/>
        </w:tcPr>
        <w:p w14:paraId="3C7F76BF" w14:textId="77777777" w:rsidR="00B64462" w:rsidRDefault="00B64462">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14:paraId="00FB562E" w14:textId="107F85BA" w:rsidR="00B64462" w:rsidRDefault="00A56C37">
          <w:pPr>
            <w:pBdr>
              <w:top w:val="nil"/>
              <w:left w:val="nil"/>
              <w:bottom w:val="nil"/>
              <w:right w:val="nil"/>
              <w:between w:val="nil"/>
            </w:pBdr>
            <w:tabs>
              <w:tab w:val="center" w:pos="4536"/>
              <w:tab w:val="right" w:pos="9072"/>
            </w:tabs>
            <w:spacing w:line="276" w:lineRule="auto"/>
            <w:jc w:val="right"/>
            <w:rPr>
              <w:color w:val="000000"/>
              <w:sz w:val="14"/>
              <w:szCs w:val="14"/>
            </w:rPr>
          </w:pPr>
          <w:proofErr w:type="spellStart"/>
          <w:r>
            <w:rPr>
              <w:color w:val="000000"/>
              <w:sz w:val="14"/>
              <w:szCs w:val="14"/>
            </w:rPr>
            <w:t>Vorläufige</w:t>
          </w:r>
          <w:proofErr w:type="spellEnd"/>
          <w:r>
            <w:rPr>
              <w:color w:val="000000"/>
              <w:sz w:val="14"/>
              <w:szCs w:val="14"/>
            </w:rPr>
            <w:t xml:space="preserve"> </w:t>
          </w:r>
          <w:proofErr w:type="spellStart"/>
          <w:r>
            <w:rPr>
              <w:color w:val="000000"/>
              <w:sz w:val="14"/>
              <w:szCs w:val="14"/>
            </w:rPr>
            <w:t>Zahlen</w:t>
          </w:r>
          <w:proofErr w:type="spellEnd"/>
          <w:r>
            <w:rPr>
              <w:color w:val="000000"/>
              <w:sz w:val="14"/>
              <w:szCs w:val="14"/>
            </w:rPr>
            <w:t xml:space="preserve"> </w:t>
          </w:r>
          <w:r w:rsidR="00F242D6">
            <w:rPr>
              <w:color w:val="000000"/>
              <w:sz w:val="14"/>
              <w:szCs w:val="14"/>
            </w:rPr>
            <w:t>2024</w:t>
          </w:r>
          <w:r w:rsidR="00B64462">
            <w:rPr>
              <w:color w:val="000000"/>
              <w:sz w:val="14"/>
              <w:szCs w:val="14"/>
            </w:rPr>
            <w:t xml:space="preserve"> | </w:t>
          </w:r>
          <w:r w:rsidR="00B64462">
            <w:rPr>
              <w:color w:val="000000"/>
              <w:sz w:val="14"/>
              <w:szCs w:val="14"/>
            </w:rPr>
            <w:fldChar w:fldCharType="begin"/>
          </w:r>
          <w:r w:rsidR="00B64462">
            <w:rPr>
              <w:color w:val="000000"/>
              <w:sz w:val="14"/>
              <w:szCs w:val="14"/>
            </w:rPr>
            <w:instrText>PAGE</w:instrText>
          </w:r>
          <w:r w:rsidR="00B64462">
            <w:rPr>
              <w:color w:val="000000"/>
              <w:sz w:val="14"/>
              <w:szCs w:val="14"/>
            </w:rPr>
            <w:fldChar w:fldCharType="separate"/>
          </w:r>
          <w:r w:rsidR="00D06342">
            <w:rPr>
              <w:noProof/>
              <w:color w:val="000000"/>
              <w:sz w:val="14"/>
              <w:szCs w:val="14"/>
            </w:rPr>
            <w:t>6</w:t>
          </w:r>
          <w:r w:rsidR="00B64462">
            <w:rPr>
              <w:color w:val="000000"/>
              <w:sz w:val="14"/>
              <w:szCs w:val="14"/>
            </w:rPr>
            <w:fldChar w:fldCharType="end"/>
          </w:r>
        </w:p>
      </w:tc>
    </w:tr>
  </w:tbl>
  <w:p w14:paraId="58FE10F2" w14:textId="77777777" w:rsidR="00B64462" w:rsidRDefault="00B64462">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19C5" w14:textId="77777777" w:rsidR="00B64462" w:rsidRDefault="00B64462">
    <w:pPr>
      <w:widowControl w:val="0"/>
      <w:pBdr>
        <w:top w:val="nil"/>
        <w:left w:val="nil"/>
        <w:bottom w:val="nil"/>
        <w:right w:val="nil"/>
        <w:between w:val="nil"/>
      </w:pBdr>
      <w:spacing w:after="0"/>
      <w:rPr>
        <w:color w:val="000000"/>
        <w:sz w:val="14"/>
        <w:szCs w:val="14"/>
      </w:rPr>
    </w:pPr>
  </w:p>
  <w:tbl>
    <w:tblPr>
      <w:tblStyle w:val="a6"/>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B64462" w14:paraId="4F859AC6" w14:textId="77777777">
      <w:trPr>
        <w:trHeight w:val="620"/>
      </w:trPr>
      <w:tc>
        <w:tcPr>
          <w:tcW w:w="2552" w:type="dxa"/>
        </w:tcPr>
        <w:p w14:paraId="40BE7DB2" w14:textId="77777777" w:rsidR="00B64462" w:rsidRDefault="00B64462">
          <w:pPr>
            <w:pBdr>
              <w:top w:val="nil"/>
              <w:left w:val="nil"/>
              <w:bottom w:val="nil"/>
              <w:right w:val="nil"/>
              <w:between w:val="nil"/>
            </w:pBdr>
            <w:spacing w:after="240" w:line="288" w:lineRule="auto"/>
            <w:rPr>
              <w:color w:val="000000"/>
              <w:sz w:val="20"/>
              <w:szCs w:val="20"/>
            </w:rPr>
          </w:pPr>
        </w:p>
      </w:tc>
      <w:tc>
        <w:tcPr>
          <w:tcW w:w="4536" w:type="dxa"/>
        </w:tcPr>
        <w:p w14:paraId="66E8FB6A" w14:textId="77777777" w:rsidR="00B64462" w:rsidRDefault="00B64462">
          <w:pPr>
            <w:pBdr>
              <w:top w:val="nil"/>
              <w:left w:val="nil"/>
              <w:bottom w:val="nil"/>
              <w:right w:val="nil"/>
              <w:between w:val="nil"/>
            </w:pBdr>
            <w:spacing w:after="240" w:line="288" w:lineRule="auto"/>
            <w:rPr>
              <w:color w:val="000000"/>
              <w:sz w:val="20"/>
              <w:szCs w:val="20"/>
            </w:rPr>
          </w:pPr>
        </w:p>
      </w:tc>
      <w:tc>
        <w:tcPr>
          <w:tcW w:w="2693" w:type="dxa"/>
        </w:tcPr>
        <w:p w14:paraId="130204FA" w14:textId="77777777" w:rsidR="00B64462" w:rsidRDefault="00B64462">
          <w:pPr>
            <w:pBdr>
              <w:top w:val="nil"/>
              <w:left w:val="nil"/>
              <w:bottom w:val="nil"/>
              <w:right w:val="nil"/>
              <w:between w:val="nil"/>
            </w:pBdr>
            <w:spacing w:after="240" w:line="288" w:lineRule="auto"/>
            <w:rPr>
              <w:color w:val="000000"/>
              <w:sz w:val="20"/>
              <w:szCs w:val="20"/>
            </w:rPr>
          </w:pPr>
        </w:p>
      </w:tc>
    </w:tr>
  </w:tbl>
  <w:p w14:paraId="538F815C" w14:textId="77777777" w:rsidR="00B64462" w:rsidRDefault="00B64462">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00654" w14:textId="77777777" w:rsidR="00B64462" w:rsidRDefault="00B64462">
      <w:pPr>
        <w:spacing w:after="0" w:line="240" w:lineRule="auto"/>
      </w:pPr>
      <w:r>
        <w:separator/>
      </w:r>
    </w:p>
  </w:footnote>
  <w:footnote w:type="continuationSeparator" w:id="0">
    <w:p w14:paraId="340AD67B" w14:textId="77777777" w:rsidR="00B64462" w:rsidRDefault="00B64462">
      <w:pPr>
        <w:spacing w:after="0" w:line="240" w:lineRule="auto"/>
      </w:pPr>
      <w:r>
        <w:continuationSeparator/>
      </w:r>
    </w:p>
  </w:footnote>
  <w:footnote w:type="continuationNotice" w:id="1">
    <w:p w14:paraId="1E7AADB4" w14:textId="77777777" w:rsidR="00B64462" w:rsidRDefault="00B644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03FB" w14:textId="77777777" w:rsidR="00B64462" w:rsidRDefault="00B64462">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168CE" w14:textId="77777777" w:rsidR="00B64462" w:rsidRDefault="00B64462">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27139467" wp14:editId="353108C3">
          <wp:extent cx="2523600" cy="2160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E019" w14:textId="77777777" w:rsidR="00B64462" w:rsidRDefault="00B64462">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3529F669" wp14:editId="25DEDE42">
          <wp:extent cx="2524721" cy="2160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53F49"/>
    <w:multiLevelType w:val="multilevel"/>
    <w:tmpl w:val="49B4DB50"/>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B4"/>
    <w:rsid w:val="000036C9"/>
    <w:rsid w:val="000038B3"/>
    <w:rsid w:val="00003B1D"/>
    <w:rsid w:val="00005021"/>
    <w:rsid w:val="00006AC7"/>
    <w:rsid w:val="00007AF4"/>
    <w:rsid w:val="00011622"/>
    <w:rsid w:val="00012558"/>
    <w:rsid w:val="0001378D"/>
    <w:rsid w:val="000247E3"/>
    <w:rsid w:val="00036D94"/>
    <w:rsid w:val="0004075E"/>
    <w:rsid w:val="00042B12"/>
    <w:rsid w:val="000438F6"/>
    <w:rsid w:val="00050350"/>
    <w:rsid w:val="00051C8A"/>
    <w:rsid w:val="000520F4"/>
    <w:rsid w:val="00054BF7"/>
    <w:rsid w:val="00061169"/>
    <w:rsid w:val="0007428F"/>
    <w:rsid w:val="00087151"/>
    <w:rsid w:val="000914A2"/>
    <w:rsid w:val="00093B4D"/>
    <w:rsid w:val="000959EA"/>
    <w:rsid w:val="000A24F8"/>
    <w:rsid w:val="000A3274"/>
    <w:rsid w:val="000A4083"/>
    <w:rsid w:val="000A4511"/>
    <w:rsid w:val="000A4E61"/>
    <w:rsid w:val="000A5D40"/>
    <w:rsid w:val="000C2C9C"/>
    <w:rsid w:val="000C4B13"/>
    <w:rsid w:val="000D14CC"/>
    <w:rsid w:val="000D7B72"/>
    <w:rsid w:val="000E3518"/>
    <w:rsid w:val="000E6AB5"/>
    <w:rsid w:val="000F2765"/>
    <w:rsid w:val="000F7A89"/>
    <w:rsid w:val="001026B6"/>
    <w:rsid w:val="00103A06"/>
    <w:rsid w:val="00104C75"/>
    <w:rsid w:val="001052AA"/>
    <w:rsid w:val="00112A45"/>
    <w:rsid w:val="00114C71"/>
    <w:rsid w:val="00120539"/>
    <w:rsid w:val="0012173E"/>
    <w:rsid w:val="001256E8"/>
    <w:rsid w:val="00131F0F"/>
    <w:rsid w:val="0013227C"/>
    <w:rsid w:val="00132573"/>
    <w:rsid w:val="00132FB6"/>
    <w:rsid w:val="0013469E"/>
    <w:rsid w:val="00141665"/>
    <w:rsid w:val="00155304"/>
    <w:rsid w:val="00156605"/>
    <w:rsid w:val="00161C57"/>
    <w:rsid w:val="00162C35"/>
    <w:rsid w:val="0016593E"/>
    <w:rsid w:val="00167B4C"/>
    <w:rsid w:val="00171C97"/>
    <w:rsid w:val="001847A2"/>
    <w:rsid w:val="00185CC8"/>
    <w:rsid w:val="00187A08"/>
    <w:rsid w:val="00187CB2"/>
    <w:rsid w:val="00193AE6"/>
    <w:rsid w:val="00194FC0"/>
    <w:rsid w:val="001A0532"/>
    <w:rsid w:val="001B06ED"/>
    <w:rsid w:val="001B29AF"/>
    <w:rsid w:val="001B2FC7"/>
    <w:rsid w:val="001C5385"/>
    <w:rsid w:val="001D0D62"/>
    <w:rsid w:val="001D155F"/>
    <w:rsid w:val="001D2111"/>
    <w:rsid w:val="001D54A7"/>
    <w:rsid w:val="001E1237"/>
    <w:rsid w:val="001E14DD"/>
    <w:rsid w:val="001E2F82"/>
    <w:rsid w:val="001E424E"/>
    <w:rsid w:val="001E46B0"/>
    <w:rsid w:val="001F0932"/>
    <w:rsid w:val="001F39C9"/>
    <w:rsid w:val="001F458E"/>
    <w:rsid w:val="001F5884"/>
    <w:rsid w:val="001F630F"/>
    <w:rsid w:val="001F6A1E"/>
    <w:rsid w:val="001F6E71"/>
    <w:rsid w:val="00204DC0"/>
    <w:rsid w:val="00205CE0"/>
    <w:rsid w:val="002061CE"/>
    <w:rsid w:val="00207387"/>
    <w:rsid w:val="0021190B"/>
    <w:rsid w:val="00214620"/>
    <w:rsid w:val="00215CD3"/>
    <w:rsid w:val="002203EE"/>
    <w:rsid w:val="0022064C"/>
    <w:rsid w:val="00230985"/>
    <w:rsid w:val="0024065B"/>
    <w:rsid w:val="0024470B"/>
    <w:rsid w:val="00244882"/>
    <w:rsid w:val="002455E8"/>
    <w:rsid w:val="002463F0"/>
    <w:rsid w:val="00252DE8"/>
    <w:rsid w:val="002545CF"/>
    <w:rsid w:val="00254654"/>
    <w:rsid w:val="00255103"/>
    <w:rsid w:val="00257059"/>
    <w:rsid w:val="00273F85"/>
    <w:rsid w:val="0027596D"/>
    <w:rsid w:val="002759DC"/>
    <w:rsid w:val="00276A38"/>
    <w:rsid w:val="00277037"/>
    <w:rsid w:val="0028374F"/>
    <w:rsid w:val="00284459"/>
    <w:rsid w:val="00285151"/>
    <w:rsid w:val="002857D1"/>
    <w:rsid w:val="00285DEE"/>
    <w:rsid w:val="00287388"/>
    <w:rsid w:val="002944AC"/>
    <w:rsid w:val="00296A42"/>
    <w:rsid w:val="002A3ACE"/>
    <w:rsid w:val="002B23B3"/>
    <w:rsid w:val="002C4C6F"/>
    <w:rsid w:val="002C50E3"/>
    <w:rsid w:val="002C7A54"/>
    <w:rsid w:val="002D2B3C"/>
    <w:rsid w:val="002D2B96"/>
    <w:rsid w:val="002D2FC7"/>
    <w:rsid w:val="002D2FE3"/>
    <w:rsid w:val="002D58C8"/>
    <w:rsid w:val="002D6A00"/>
    <w:rsid w:val="002D7390"/>
    <w:rsid w:val="002E6657"/>
    <w:rsid w:val="002E699C"/>
    <w:rsid w:val="002F10DD"/>
    <w:rsid w:val="002F16B6"/>
    <w:rsid w:val="002F3E84"/>
    <w:rsid w:val="00306A0F"/>
    <w:rsid w:val="00307075"/>
    <w:rsid w:val="00316F56"/>
    <w:rsid w:val="00320A39"/>
    <w:rsid w:val="0032134F"/>
    <w:rsid w:val="00321CD5"/>
    <w:rsid w:val="00322A83"/>
    <w:rsid w:val="00323547"/>
    <w:rsid w:val="0032780C"/>
    <w:rsid w:val="00334A81"/>
    <w:rsid w:val="0033616D"/>
    <w:rsid w:val="00344C60"/>
    <w:rsid w:val="003468B0"/>
    <w:rsid w:val="00347021"/>
    <w:rsid w:val="00350EB1"/>
    <w:rsid w:val="0035198F"/>
    <w:rsid w:val="00355553"/>
    <w:rsid w:val="003629DD"/>
    <w:rsid w:val="00363AE6"/>
    <w:rsid w:val="003663CC"/>
    <w:rsid w:val="00384AF6"/>
    <w:rsid w:val="003851FC"/>
    <w:rsid w:val="00392878"/>
    <w:rsid w:val="003966BE"/>
    <w:rsid w:val="003A030A"/>
    <w:rsid w:val="003A15A0"/>
    <w:rsid w:val="003A70A4"/>
    <w:rsid w:val="003B27E7"/>
    <w:rsid w:val="003B4D4B"/>
    <w:rsid w:val="003B55F6"/>
    <w:rsid w:val="003B7C60"/>
    <w:rsid w:val="003C4EDD"/>
    <w:rsid w:val="003C765E"/>
    <w:rsid w:val="003D2EE7"/>
    <w:rsid w:val="003D331E"/>
    <w:rsid w:val="003D41CC"/>
    <w:rsid w:val="003E3B4B"/>
    <w:rsid w:val="003E4CCF"/>
    <w:rsid w:val="003E7ED5"/>
    <w:rsid w:val="003F2BD4"/>
    <w:rsid w:val="003F4C58"/>
    <w:rsid w:val="0040272A"/>
    <w:rsid w:val="004113A4"/>
    <w:rsid w:val="00411A29"/>
    <w:rsid w:val="00413BE2"/>
    <w:rsid w:val="00427C83"/>
    <w:rsid w:val="00455955"/>
    <w:rsid w:val="00473400"/>
    <w:rsid w:val="00475272"/>
    <w:rsid w:val="00475B45"/>
    <w:rsid w:val="004801C9"/>
    <w:rsid w:val="004806A8"/>
    <w:rsid w:val="00481190"/>
    <w:rsid w:val="00493898"/>
    <w:rsid w:val="00494D83"/>
    <w:rsid w:val="004A3652"/>
    <w:rsid w:val="004A3B3D"/>
    <w:rsid w:val="004A601D"/>
    <w:rsid w:val="004A63E7"/>
    <w:rsid w:val="004B2569"/>
    <w:rsid w:val="004B2DC0"/>
    <w:rsid w:val="004B35A8"/>
    <w:rsid w:val="004B4386"/>
    <w:rsid w:val="004B5829"/>
    <w:rsid w:val="004C5FDF"/>
    <w:rsid w:val="004D0C09"/>
    <w:rsid w:val="004D10F3"/>
    <w:rsid w:val="004D3BF8"/>
    <w:rsid w:val="004D6DB3"/>
    <w:rsid w:val="004D74D8"/>
    <w:rsid w:val="004E1A59"/>
    <w:rsid w:val="004E4588"/>
    <w:rsid w:val="004E79D2"/>
    <w:rsid w:val="004F0204"/>
    <w:rsid w:val="004F2688"/>
    <w:rsid w:val="004F5796"/>
    <w:rsid w:val="00502334"/>
    <w:rsid w:val="00506B44"/>
    <w:rsid w:val="00507F06"/>
    <w:rsid w:val="005105F6"/>
    <w:rsid w:val="00511B7D"/>
    <w:rsid w:val="0051226C"/>
    <w:rsid w:val="00513805"/>
    <w:rsid w:val="005178E7"/>
    <w:rsid w:val="00520E24"/>
    <w:rsid w:val="00531347"/>
    <w:rsid w:val="00531B1F"/>
    <w:rsid w:val="00532CE6"/>
    <w:rsid w:val="00541708"/>
    <w:rsid w:val="00547BF2"/>
    <w:rsid w:val="00563282"/>
    <w:rsid w:val="0057100E"/>
    <w:rsid w:val="00574BA9"/>
    <w:rsid w:val="00574FD3"/>
    <w:rsid w:val="005830DB"/>
    <w:rsid w:val="00592437"/>
    <w:rsid w:val="0059338C"/>
    <w:rsid w:val="00593BC1"/>
    <w:rsid w:val="00595260"/>
    <w:rsid w:val="005A0169"/>
    <w:rsid w:val="005A0266"/>
    <w:rsid w:val="005A0C61"/>
    <w:rsid w:val="005A21B8"/>
    <w:rsid w:val="005B7105"/>
    <w:rsid w:val="005B794F"/>
    <w:rsid w:val="005C0863"/>
    <w:rsid w:val="005C38D6"/>
    <w:rsid w:val="005C487F"/>
    <w:rsid w:val="005C7B50"/>
    <w:rsid w:val="005D3F4A"/>
    <w:rsid w:val="005D6947"/>
    <w:rsid w:val="005D7C28"/>
    <w:rsid w:val="005E13E9"/>
    <w:rsid w:val="005E3E7F"/>
    <w:rsid w:val="005E46B1"/>
    <w:rsid w:val="005E69DE"/>
    <w:rsid w:val="005F35BD"/>
    <w:rsid w:val="006030C7"/>
    <w:rsid w:val="00606051"/>
    <w:rsid w:val="0061334F"/>
    <w:rsid w:val="0061541F"/>
    <w:rsid w:val="0062174E"/>
    <w:rsid w:val="00636E12"/>
    <w:rsid w:val="00641178"/>
    <w:rsid w:val="00643D9A"/>
    <w:rsid w:val="00647F60"/>
    <w:rsid w:val="00652F52"/>
    <w:rsid w:val="0065375C"/>
    <w:rsid w:val="00655939"/>
    <w:rsid w:val="00667413"/>
    <w:rsid w:val="00667832"/>
    <w:rsid w:val="006721C5"/>
    <w:rsid w:val="006759EE"/>
    <w:rsid w:val="00677E07"/>
    <w:rsid w:val="00681D58"/>
    <w:rsid w:val="00682F93"/>
    <w:rsid w:val="006862D3"/>
    <w:rsid w:val="00690F94"/>
    <w:rsid w:val="00693D7C"/>
    <w:rsid w:val="006A2267"/>
    <w:rsid w:val="006A2D60"/>
    <w:rsid w:val="006A6112"/>
    <w:rsid w:val="006B529B"/>
    <w:rsid w:val="006B631A"/>
    <w:rsid w:val="006C5FAE"/>
    <w:rsid w:val="006C738E"/>
    <w:rsid w:val="006D1E6F"/>
    <w:rsid w:val="006D23BE"/>
    <w:rsid w:val="006D2DF8"/>
    <w:rsid w:val="006D38AB"/>
    <w:rsid w:val="006D3C3B"/>
    <w:rsid w:val="006D403F"/>
    <w:rsid w:val="006D754A"/>
    <w:rsid w:val="006E4852"/>
    <w:rsid w:val="006E6A97"/>
    <w:rsid w:val="006F0418"/>
    <w:rsid w:val="006F28F1"/>
    <w:rsid w:val="006F445E"/>
    <w:rsid w:val="006F5DCE"/>
    <w:rsid w:val="00707E27"/>
    <w:rsid w:val="007101A9"/>
    <w:rsid w:val="007210FA"/>
    <w:rsid w:val="00731104"/>
    <w:rsid w:val="00731522"/>
    <w:rsid w:val="0073185C"/>
    <w:rsid w:val="00732C1A"/>
    <w:rsid w:val="0074179E"/>
    <w:rsid w:val="0074545F"/>
    <w:rsid w:val="00750693"/>
    <w:rsid w:val="00751AD3"/>
    <w:rsid w:val="007522F7"/>
    <w:rsid w:val="007639AD"/>
    <w:rsid w:val="007642D9"/>
    <w:rsid w:val="00764A7C"/>
    <w:rsid w:val="00766995"/>
    <w:rsid w:val="007703FF"/>
    <w:rsid w:val="007715A4"/>
    <w:rsid w:val="00773746"/>
    <w:rsid w:val="00773B7D"/>
    <w:rsid w:val="00775572"/>
    <w:rsid w:val="00775A2E"/>
    <w:rsid w:val="00780A6B"/>
    <w:rsid w:val="00780D84"/>
    <w:rsid w:val="00791494"/>
    <w:rsid w:val="00792DCB"/>
    <w:rsid w:val="00793519"/>
    <w:rsid w:val="00796167"/>
    <w:rsid w:val="007A38CE"/>
    <w:rsid w:val="007A7060"/>
    <w:rsid w:val="007B1F71"/>
    <w:rsid w:val="007B33E7"/>
    <w:rsid w:val="007B4B24"/>
    <w:rsid w:val="007D1D7D"/>
    <w:rsid w:val="007D577A"/>
    <w:rsid w:val="007E143A"/>
    <w:rsid w:val="007E420A"/>
    <w:rsid w:val="007F2D37"/>
    <w:rsid w:val="007F5906"/>
    <w:rsid w:val="007F7C47"/>
    <w:rsid w:val="00803F45"/>
    <w:rsid w:val="00811806"/>
    <w:rsid w:val="008213A6"/>
    <w:rsid w:val="008226DD"/>
    <w:rsid w:val="008230CD"/>
    <w:rsid w:val="00826302"/>
    <w:rsid w:val="00832F96"/>
    <w:rsid w:val="0083464C"/>
    <w:rsid w:val="008351E1"/>
    <w:rsid w:val="0083570C"/>
    <w:rsid w:val="00843522"/>
    <w:rsid w:val="00843674"/>
    <w:rsid w:val="00850251"/>
    <w:rsid w:val="00851C76"/>
    <w:rsid w:val="00854FE8"/>
    <w:rsid w:val="00873FE5"/>
    <w:rsid w:val="00874916"/>
    <w:rsid w:val="0088051E"/>
    <w:rsid w:val="00891C0F"/>
    <w:rsid w:val="008B040F"/>
    <w:rsid w:val="008B04C1"/>
    <w:rsid w:val="008C48F7"/>
    <w:rsid w:val="008C57EA"/>
    <w:rsid w:val="008E5A2E"/>
    <w:rsid w:val="008F015A"/>
    <w:rsid w:val="008F0EB7"/>
    <w:rsid w:val="008F5D1A"/>
    <w:rsid w:val="00903563"/>
    <w:rsid w:val="00904D4E"/>
    <w:rsid w:val="00905D3C"/>
    <w:rsid w:val="009072B3"/>
    <w:rsid w:val="00907E2C"/>
    <w:rsid w:val="00913C60"/>
    <w:rsid w:val="0092039C"/>
    <w:rsid w:val="00921F67"/>
    <w:rsid w:val="00923B2E"/>
    <w:rsid w:val="00935D6F"/>
    <w:rsid w:val="00942ACF"/>
    <w:rsid w:val="00944850"/>
    <w:rsid w:val="009563EB"/>
    <w:rsid w:val="009607E9"/>
    <w:rsid w:val="00963A82"/>
    <w:rsid w:val="009663BE"/>
    <w:rsid w:val="009712DE"/>
    <w:rsid w:val="0097481B"/>
    <w:rsid w:val="009765B7"/>
    <w:rsid w:val="00982363"/>
    <w:rsid w:val="00986EC0"/>
    <w:rsid w:val="00987EB8"/>
    <w:rsid w:val="009905C9"/>
    <w:rsid w:val="009A1905"/>
    <w:rsid w:val="009A4C4C"/>
    <w:rsid w:val="009A5227"/>
    <w:rsid w:val="009A5449"/>
    <w:rsid w:val="009A6734"/>
    <w:rsid w:val="009B39FE"/>
    <w:rsid w:val="009C1501"/>
    <w:rsid w:val="009C4B2C"/>
    <w:rsid w:val="009D43F2"/>
    <w:rsid w:val="009D61EA"/>
    <w:rsid w:val="009E17B1"/>
    <w:rsid w:val="009E6573"/>
    <w:rsid w:val="009F224B"/>
    <w:rsid w:val="009F2A5F"/>
    <w:rsid w:val="009F3E35"/>
    <w:rsid w:val="00A14350"/>
    <w:rsid w:val="00A14BDC"/>
    <w:rsid w:val="00A15DAB"/>
    <w:rsid w:val="00A21673"/>
    <w:rsid w:val="00A269ED"/>
    <w:rsid w:val="00A34CCB"/>
    <w:rsid w:val="00A440B6"/>
    <w:rsid w:val="00A459DB"/>
    <w:rsid w:val="00A46486"/>
    <w:rsid w:val="00A50CEE"/>
    <w:rsid w:val="00A51AC0"/>
    <w:rsid w:val="00A5347E"/>
    <w:rsid w:val="00A547A8"/>
    <w:rsid w:val="00A54C5E"/>
    <w:rsid w:val="00A56C37"/>
    <w:rsid w:val="00A57295"/>
    <w:rsid w:val="00A7518A"/>
    <w:rsid w:val="00A8012A"/>
    <w:rsid w:val="00A815F1"/>
    <w:rsid w:val="00A83017"/>
    <w:rsid w:val="00A87EF3"/>
    <w:rsid w:val="00A907B4"/>
    <w:rsid w:val="00A92B0E"/>
    <w:rsid w:val="00AA0355"/>
    <w:rsid w:val="00AA1358"/>
    <w:rsid w:val="00AA2D5D"/>
    <w:rsid w:val="00AC30BF"/>
    <w:rsid w:val="00AC421E"/>
    <w:rsid w:val="00AC4DDD"/>
    <w:rsid w:val="00AE1CF1"/>
    <w:rsid w:val="00AE678F"/>
    <w:rsid w:val="00AF164E"/>
    <w:rsid w:val="00AF191A"/>
    <w:rsid w:val="00AF4895"/>
    <w:rsid w:val="00AF635B"/>
    <w:rsid w:val="00AF713A"/>
    <w:rsid w:val="00B11E51"/>
    <w:rsid w:val="00B17D1D"/>
    <w:rsid w:val="00B24022"/>
    <w:rsid w:val="00B25DBC"/>
    <w:rsid w:val="00B271AC"/>
    <w:rsid w:val="00B32B8D"/>
    <w:rsid w:val="00B34C95"/>
    <w:rsid w:val="00B44D34"/>
    <w:rsid w:val="00B45533"/>
    <w:rsid w:val="00B47E14"/>
    <w:rsid w:val="00B56D24"/>
    <w:rsid w:val="00B62673"/>
    <w:rsid w:val="00B62EFD"/>
    <w:rsid w:val="00B64033"/>
    <w:rsid w:val="00B64462"/>
    <w:rsid w:val="00B662E8"/>
    <w:rsid w:val="00B67178"/>
    <w:rsid w:val="00B7217B"/>
    <w:rsid w:val="00B72D89"/>
    <w:rsid w:val="00B73D26"/>
    <w:rsid w:val="00B81389"/>
    <w:rsid w:val="00B814B9"/>
    <w:rsid w:val="00B82520"/>
    <w:rsid w:val="00B861E9"/>
    <w:rsid w:val="00B876BF"/>
    <w:rsid w:val="00B96E3B"/>
    <w:rsid w:val="00BA02BC"/>
    <w:rsid w:val="00BA2BB0"/>
    <w:rsid w:val="00BA62ED"/>
    <w:rsid w:val="00BB58C1"/>
    <w:rsid w:val="00BB58CD"/>
    <w:rsid w:val="00BB6182"/>
    <w:rsid w:val="00BD1979"/>
    <w:rsid w:val="00BD1CBE"/>
    <w:rsid w:val="00BD38AB"/>
    <w:rsid w:val="00BD4257"/>
    <w:rsid w:val="00BD4E72"/>
    <w:rsid w:val="00BF2B1D"/>
    <w:rsid w:val="00C016E2"/>
    <w:rsid w:val="00C03A48"/>
    <w:rsid w:val="00C052FE"/>
    <w:rsid w:val="00C121AA"/>
    <w:rsid w:val="00C142B9"/>
    <w:rsid w:val="00C32EF6"/>
    <w:rsid w:val="00C35B58"/>
    <w:rsid w:val="00C360F2"/>
    <w:rsid w:val="00C36F58"/>
    <w:rsid w:val="00C4097B"/>
    <w:rsid w:val="00C466D8"/>
    <w:rsid w:val="00C50333"/>
    <w:rsid w:val="00C51C7D"/>
    <w:rsid w:val="00C5554A"/>
    <w:rsid w:val="00C56E2F"/>
    <w:rsid w:val="00C5721D"/>
    <w:rsid w:val="00C62101"/>
    <w:rsid w:val="00C63962"/>
    <w:rsid w:val="00C758FB"/>
    <w:rsid w:val="00C84DC6"/>
    <w:rsid w:val="00C9267E"/>
    <w:rsid w:val="00CA3C46"/>
    <w:rsid w:val="00CA6DF6"/>
    <w:rsid w:val="00CB66D6"/>
    <w:rsid w:val="00CC3DF2"/>
    <w:rsid w:val="00CC4ECD"/>
    <w:rsid w:val="00CD13C7"/>
    <w:rsid w:val="00CD24D5"/>
    <w:rsid w:val="00CD25D9"/>
    <w:rsid w:val="00CD7E13"/>
    <w:rsid w:val="00CE0BA4"/>
    <w:rsid w:val="00CF3CB5"/>
    <w:rsid w:val="00D003D7"/>
    <w:rsid w:val="00D01F5C"/>
    <w:rsid w:val="00D06342"/>
    <w:rsid w:val="00D06787"/>
    <w:rsid w:val="00D068FF"/>
    <w:rsid w:val="00D11303"/>
    <w:rsid w:val="00D12CA0"/>
    <w:rsid w:val="00D14A21"/>
    <w:rsid w:val="00D16518"/>
    <w:rsid w:val="00D220CF"/>
    <w:rsid w:val="00D23079"/>
    <w:rsid w:val="00D275AB"/>
    <w:rsid w:val="00D353E8"/>
    <w:rsid w:val="00D36DA5"/>
    <w:rsid w:val="00D4262D"/>
    <w:rsid w:val="00D427E5"/>
    <w:rsid w:val="00D43E93"/>
    <w:rsid w:val="00D50FAB"/>
    <w:rsid w:val="00D55766"/>
    <w:rsid w:val="00D566C5"/>
    <w:rsid w:val="00D65EF5"/>
    <w:rsid w:val="00D7695D"/>
    <w:rsid w:val="00D81929"/>
    <w:rsid w:val="00D8562F"/>
    <w:rsid w:val="00D86904"/>
    <w:rsid w:val="00D947D9"/>
    <w:rsid w:val="00D9514D"/>
    <w:rsid w:val="00DA35CA"/>
    <w:rsid w:val="00DA7FBA"/>
    <w:rsid w:val="00DB1DE2"/>
    <w:rsid w:val="00DB3865"/>
    <w:rsid w:val="00DC214E"/>
    <w:rsid w:val="00DC2715"/>
    <w:rsid w:val="00DC59B9"/>
    <w:rsid w:val="00DD1B0C"/>
    <w:rsid w:val="00DD2AF2"/>
    <w:rsid w:val="00DD34E4"/>
    <w:rsid w:val="00DD5D37"/>
    <w:rsid w:val="00DD639D"/>
    <w:rsid w:val="00DD6BE2"/>
    <w:rsid w:val="00DD797E"/>
    <w:rsid w:val="00DE1461"/>
    <w:rsid w:val="00DF36D4"/>
    <w:rsid w:val="00E065AD"/>
    <w:rsid w:val="00E06E4F"/>
    <w:rsid w:val="00E075A7"/>
    <w:rsid w:val="00E107FC"/>
    <w:rsid w:val="00E11168"/>
    <w:rsid w:val="00E15437"/>
    <w:rsid w:val="00E24E21"/>
    <w:rsid w:val="00E25065"/>
    <w:rsid w:val="00E336F1"/>
    <w:rsid w:val="00E341F1"/>
    <w:rsid w:val="00E45DAC"/>
    <w:rsid w:val="00E575B6"/>
    <w:rsid w:val="00E57BCB"/>
    <w:rsid w:val="00E62B39"/>
    <w:rsid w:val="00E638DB"/>
    <w:rsid w:val="00E64417"/>
    <w:rsid w:val="00E6551F"/>
    <w:rsid w:val="00E656B4"/>
    <w:rsid w:val="00E66B3A"/>
    <w:rsid w:val="00E70899"/>
    <w:rsid w:val="00E70E95"/>
    <w:rsid w:val="00E75D83"/>
    <w:rsid w:val="00E85037"/>
    <w:rsid w:val="00E85DCD"/>
    <w:rsid w:val="00E874CF"/>
    <w:rsid w:val="00E90308"/>
    <w:rsid w:val="00E9054D"/>
    <w:rsid w:val="00E90DC5"/>
    <w:rsid w:val="00E90E1B"/>
    <w:rsid w:val="00E943D1"/>
    <w:rsid w:val="00E97CE5"/>
    <w:rsid w:val="00EA2899"/>
    <w:rsid w:val="00EB4952"/>
    <w:rsid w:val="00EC3287"/>
    <w:rsid w:val="00EE0C48"/>
    <w:rsid w:val="00EE4E53"/>
    <w:rsid w:val="00EE5ECF"/>
    <w:rsid w:val="00F064A2"/>
    <w:rsid w:val="00F167FE"/>
    <w:rsid w:val="00F21B56"/>
    <w:rsid w:val="00F242D6"/>
    <w:rsid w:val="00F279A6"/>
    <w:rsid w:val="00F3403A"/>
    <w:rsid w:val="00F42195"/>
    <w:rsid w:val="00F4636B"/>
    <w:rsid w:val="00F56841"/>
    <w:rsid w:val="00F57C6D"/>
    <w:rsid w:val="00F60FF6"/>
    <w:rsid w:val="00F64E2A"/>
    <w:rsid w:val="00F67E37"/>
    <w:rsid w:val="00F84D79"/>
    <w:rsid w:val="00F856AC"/>
    <w:rsid w:val="00F9156E"/>
    <w:rsid w:val="00FA2BDB"/>
    <w:rsid w:val="00FA4029"/>
    <w:rsid w:val="00FB5914"/>
    <w:rsid w:val="00FB6664"/>
    <w:rsid w:val="00FC2D7B"/>
    <w:rsid w:val="00FC47EB"/>
    <w:rsid w:val="00FE1D41"/>
    <w:rsid w:val="00FE2626"/>
    <w:rsid w:val="00FE6F2E"/>
    <w:rsid w:val="00FF2101"/>
    <w:rsid w:val="00FF348B"/>
    <w:rsid w:val="00FF388D"/>
    <w:rsid w:val="00FF6E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3571"/>
  <w15:docId w15:val="{51C6C456-0083-4CA4-8729-7B9DA317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520E24"/>
    <w:pPr>
      <w:spacing w:after="0" w:line="240" w:lineRule="auto"/>
    </w:p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9">
    <w:name w:val="Table Normal9"/>
    <w:rsid w:val="006B631A"/>
    <w:tblPr>
      <w:tblCellMar>
        <w:top w:w="0" w:type="dxa"/>
        <w:left w:w="0" w:type="dxa"/>
        <w:bottom w:w="0" w:type="dxa"/>
        <w:right w:w="0" w:type="dxa"/>
      </w:tblCellMar>
    </w:tblPr>
  </w:style>
  <w:style w:type="table" w:customStyle="1" w:styleId="TableNormal7">
    <w:name w:val="Table Normal7"/>
    <w:rsid w:val="00FE1D41"/>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1">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3">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4">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5">
    <w:basedOn w:val="NormaleTabelle"/>
    <w:pPr>
      <w:spacing w:after="0" w:line="240" w:lineRule="auto"/>
    </w:pPr>
    <w:rPr>
      <w:sz w:val="17"/>
      <w:szCs w:val="17"/>
    </w:rPr>
    <w:tblPr>
      <w:tblStyleRowBandSize w:val="1"/>
      <w:tblStyleColBandSize w:val="1"/>
      <w:tblInd w:w="0" w:type="nil"/>
      <w:tblCellMar>
        <w:top w:w="57" w:type="dxa"/>
        <w:left w:w="0" w:type="dxa"/>
        <w:bottom w:w="28" w:type="dxa"/>
        <w:right w:w="0" w:type="dxa"/>
      </w:tblCellMar>
    </w:tblPr>
  </w:style>
  <w:style w:type="table" w:customStyle="1" w:styleId="a6">
    <w:basedOn w:val="NormaleTabelle"/>
    <w:pPr>
      <w:spacing w:after="0" w:line="240" w:lineRule="auto"/>
    </w:pPr>
    <w:rPr>
      <w:sz w:val="17"/>
      <w:szCs w:val="17"/>
    </w:rPr>
    <w:tblPr>
      <w:tblStyleRowBandSize w:val="1"/>
      <w:tblStyleColBandSize w:val="1"/>
      <w:tblInd w:w="0" w:type="nil"/>
      <w:tblCellMar>
        <w:top w:w="57" w:type="dxa"/>
        <w:left w:w="0" w:type="dxa"/>
        <w:bottom w:w="28" w:type="dxa"/>
        <w:right w:w="0" w:type="dxa"/>
      </w:tblCellMar>
    </w:tblPr>
  </w:style>
  <w:style w:type="character" w:styleId="Kommentarzeichen">
    <w:name w:val="annotation reference"/>
    <w:basedOn w:val="Absatz-Standardschriftart"/>
    <w:uiPriority w:val="99"/>
    <w:semiHidden/>
    <w:unhideWhenUsed/>
    <w:rsid w:val="00751AD3"/>
    <w:rPr>
      <w:sz w:val="16"/>
      <w:szCs w:val="16"/>
    </w:rPr>
  </w:style>
  <w:style w:type="paragraph" w:styleId="Kommentartext">
    <w:name w:val="annotation text"/>
    <w:basedOn w:val="Standard"/>
    <w:link w:val="KommentartextZchn"/>
    <w:uiPriority w:val="99"/>
    <w:semiHidden/>
    <w:unhideWhenUsed/>
    <w:rsid w:val="00751AD3"/>
    <w:pPr>
      <w:spacing w:line="240" w:lineRule="auto"/>
    </w:pPr>
  </w:style>
  <w:style w:type="character" w:customStyle="1" w:styleId="KommentartextZchn">
    <w:name w:val="Kommentartext Zchn"/>
    <w:basedOn w:val="Absatz-Standardschriftart"/>
    <w:link w:val="Kommentartext"/>
    <w:uiPriority w:val="99"/>
    <w:semiHidden/>
    <w:rsid w:val="00751AD3"/>
  </w:style>
  <w:style w:type="paragraph" w:styleId="Kommentarthema">
    <w:name w:val="annotation subject"/>
    <w:basedOn w:val="Kommentartext"/>
    <w:next w:val="Kommentartext"/>
    <w:link w:val="KommentarthemaZchn"/>
    <w:uiPriority w:val="99"/>
    <w:semiHidden/>
    <w:unhideWhenUsed/>
    <w:rsid w:val="00751AD3"/>
    <w:rPr>
      <w:b/>
      <w:bCs/>
    </w:rPr>
  </w:style>
  <w:style w:type="character" w:customStyle="1" w:styleId="KommentarthemaZchn">
    <w:name w:val="Kommentarthema Zchn"/>
    <w:basedOn w:val="KommentartextZchn"/>
    <w:link w:val="Kommentarthema"/>
    <w:uiPriority w:val="99"/>
    <w:semiHidden/>
    <w:rsid w:val="00751AD3"/>
    <w:rPr>
      <w:b/>
      <w:bCs/>
    </w:rPr>
  </w:style>
  <w:style w:type="paragraph" w:styleId="Kopfzeile">
    <w:name w:val="header"/>
    <w:basedOn w:val="Standard"/>
    <w:link w:val="KopfzeileZchn"/>
    <w:uiPriority w:val="99"/>
    <w:semiHidden/>
    <w:unhideWhenUsed/>
    <w:rsid w:val="00B24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24022"/>
  </w:style>
  <w:style w:type="paragraph" w:styleId="Fuzeile">
    <w:name w:val="footer"/>
    <w:basedOn w:val="Standard"/>
    <w:link w:val="FuzeileZchn"/>
    <w:uiPriority w:val="99"/>
    <w:semiHidden/>
    <w:unhideWhenUsed/>
    <w:rsid w:val="00B2402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24022"/>
  </w:style>
  <w:style w:type="table" w:customStyle="1" w:styleId="TableNormal1">
    <w:name w:val="Table Normal1"/>
    <w:rsid w:val="00B24022"/>
    <w:tblPr>
      <w:tblCellMar>
        <w:top w:w="0" w:type="dxa"/>
        <w:left w:w="0" w:type="dxa"/>
        <w:bottom w:w="0" w:type="dxa"/>
        <w:right w:w="0" w:type="dxa"/>
      </w:tblCellMar>
    </w:tblPr>
  </w:style>
  <w:style w:type="table" w:customStyle="1" w:styleId="TableNormal2">
    <w:name w:val="Table Normal2"/>
    <w:rsid w:val="00B24022"/>
    <w:tblPr>
      <w:tblCellMar>
        <w:top w:w="0" w:type="dxa"/>
        <w:left w:w="0" w:type="dxa"/>
        <w:bottom w:w="0" w:type="dxa"/>
        <w:right w:w="0" w:type="dxa"/>
      </w:tblCellMar>
    </w:tblPr>
  </w:style>
  <w:style w:type="table" w:customStyle="1" w:styleId="TableNormal3">
    <w:name w:val="Table Normal3"/>
    <w:rsid w:val="00B24022"/>
    <w:tblPr>
      <w:tblCellMar>
        <w:top w:w="0" w:type="dxa"/>
        <w:left w:w="0" w:type="dxa"/>
        <w:bottom w:w="0" w:type="dxa"/>
        <w:right w:w="0" w:type="dxa"/>
      </w:tblCellMar>
    </w:tblPr>
  </w:style>
  <w:style w:type="table" w:customStyle="1" w:styleId="TableNormal4">
    <w:name w:val="Table Normal4"/>
    <w:rsid w:val="00B24022"/>
    <w:tblPr>
      <w:tblCellMar>
        <w:top w:w="0" w:type="dxa"/>
        <w:left w:w="0" w:type="dxa"/>
        <w:bottom w:w="0" w:type="dxa"/>
        <w:right w:w="0" w:type="dxa"/>
      </w:tblCellMar>
    </w:tblPr>
  </w:style>
  <w:style w:type="table" w:customStyle="1" w:styleId="TableNormal6">
    <w:name w:val="Table Normal6"/>
    <w:rsid w:val="00FE1D41"/>
    <w:tblPr>
      <w:tblCellMar>
        <w:top w:w="0" w:type="dxa"/>
        <w:left w:w="0" w:type="dxa"/>
        <w:bottom w:w="0" w:type="dxa"/>
        <w:right w:w="0" w:type="dxa"/>
      </w:tblCellMar>
    </w:tblPr>
  </w:style>
  <w:style w:type="table" w:customStyle="1" w:styleId="TableNormal5">
    <w:name w:val="Table Normal5"/>
    <w:rsid w:val="00FE1D41"/>
    <w:tblPr>
      <w:tblCellMar>
        <w:top w:w="0" w:type="dxa"/>
        <w:left w:w="0" w:type="dxa"/>
        <w:bottom w:w="0" w:type="dxa"/>
        <w:right w:w="0" w:type="dxa"/>
      </w:tblCellMar>
    </w:tblPr>
  </w:style>
  <w:style w:type="table" w:customStyle="1" w:styleId="TableNormal8">
    <w:name w:val="Table Normal8"/>
    <w:rsid w:val="006B631A"/>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A87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7EF3"/>
    <w:rPr>
      <w:rFonts w:ascii="Segoe UI" w:hAnsi="Segoe UI" w:cs="Segoe UI"/>
      <w:sz w:val="18"/>
      <w:szCs w:val="18"/>
    </w:rPr>
  </w:style>
  <w:style w:type="table" w:styleId="Tabellenraster">
    <w:name w:val="Table Grid"/>
    <w:basedOn w:val="NormaleTabelle"/>
    <w:uiPriority w:val="39"/>
    <w:rsid w:val="003F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29723">
      <w:bodyDiv w:val="1"/>
      <w:marLeft w:val="0"/>
      <w:marRight w:val="0"/>
      <w:marTop w:val="0"/>
      <w:marBottom w:val="0"/>
      <w:divBdr>
        <w:top w:val="none" w:sz="0" w:space="0" w:color="auto"/>
        <w:left w:val="none" w:sz="0" w:space="0" w:color="auto"/>
        <w:bottom w:val="none" w:sz="0" w:space="0" w:color="auto"/>
        <w:right w:val="none" w:sz="0" w:space="0" w:color="auto"/>
      </w:divBdr>
      <w:divsChild>
        <w:div w:id="855462201">
          <w:marLeft w:val="360"/>
          <w:marRight w:val="0"/>
          <w:marTop w:val="0"/>
          <w:marBottom w:val="0"/>
          <w:divBdr>
            <w:top w:val="none" w:sz="0" w:space="0" w:color="auto"/>
            <w:left w:val="none" w:sz="0" w:space="0" w:color="auto"/>
            <w:bottom w:val="none" w:sz="0" w:space="0" w:color="auto"/>
            <w:right w:val="none" w:sz="0" w:space="0" w:color="auto"/>
          </w:divBdr>
        </w:div>
      </w:divsChild>
    </w:div>
    <w:div w:id="475535476">
      <w:bodyDiv w:val="1"/>
      <w:marLeft w:val="0"/>
      <w:marRight w:val="0"/>
      <w:marTop w:val="0"/>
      <w:marBottom w:val="0"/>
      <w:divBdr>
        <w:top w:val="none" w:sz="0" w:space="0" w:color="auto"/>
        <w:left w:val="none" w:sz="0" w:space="0" w:color="auto"/>
        <w:bottom w:val="none" w:sz="0" w:space="0" w:color="auto"/>
        <w:right w:val="none" w:sz="0" w:space="0" w:color="auto"/>
      </w:divBdr>
    </w:div>
    <w:div w:id="532497987">
      <w:bodyDiv w:val="1"/>
      <w:marLeft w:val="0"/>
      <w:marRight w:val="0"/>
      <w:marTop w:val="0"/>
      <w:marBottom w:val="0"/>
      <w:divBdr>
        <w:top w:val="none" w:sz="0" w:space="0" w:color="auto"/>
        <w:left w:val="none" w:sz="0" w:space="0" w:color="auto"/>
        <w:bottom w:val="none" w:sz="0" w:space="0" w:color="auto"/>
        <w:right w:val="none" w:sz="0" w:space="0" w:color="auto"/>
      </w:divBdr>
    </w:div>
    <w:div w:id="1278485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koenig-baue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e71c61-7bb3-467f-bc3a-77f8d22094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8C05CB85BA6545A3EB5BA128F8AD38" ma:contentTypeVersion="10" ma:contentTypeDescription="Ein neues Dokument erstellen." ma:contentTypeScope="" ma:versionID="88a6a7db3b3ea6d5c7bd0dd43257ab51">
  <xsd:schema xmlns:xsd="http://www.w3.org/2001/XMLSchema" xmlns:xs="http://www.w3.org/2001/XMLSchema" xmlns:p="http://schemas.microsoft.com/office/2006/metadata/properties" xmlns:ns2="fce71c61-7bb3-467f-bc3a-77f8d22094c3" targetNamespace="http://schemas.microsoft.com/office/2006/metadata/properties" ma:root="true" ma:fieldsID="2010feeea63d2af371bf36d4af7fd526" ns2:_="">
    <xsd:import namespace="fce71c61-7bb3-467f-bc3a-77f8d22094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1c61-7bb3-467f-bc3a-77f8d2209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8c73527-70ac-45dd-ba17-f9c4619ca3d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vGmM6cM2q+ZwLVXYEyLriahPrg==">CgMxLjAyCGguZ2pkZ3hzMgloLjMwajB6bGwyDmguanRvNGgwanA2cHc2MgloLjFmb2I5dGUyDmgubnpleDMwdXl0amJjMg5oLjd3MXFvZHZyY2IwZDIOaC50dGJqOXJwOW51d24yDmgucjZwbmE4MWExMm0wMg5oLnJoMmplbGtrbGs0YTIOaC5vY290aDd0anlnd2U4AHIhMVpUaVlfX2kzY3A5bWxDUzlIWDVmS2xlMlNRSWRsdjRT</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D6681-0C38-4C9D-BDC2-4EA67C3DF11E}">
  <ds:schemaRefs>
    <ds:schemaRef ds:uri="http://schemas.microsoft.com/sharepoint/v3/contenttype/forms"/>
  </ds:schemaRefs>
</ds:datastoreItem>
</file>

<file path=customXml/itemProps2.xml><?xml version="1.0" encoding="utf-8"?>
<ds:datastoreItem xmlns:ds="http://schemas.openxmlformats.org/officeDocument/2006/customXml" ds:itemID="{56F04EE1-53FB-47B4-910D-E83A7F8A8821}">
  <ds:schemaRefs>
    <ds:schemaRef ds:uri="fce71c61-7bb3-467f-bc3a-77f8d22094c3"/>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54DFBCF-91A8-4660-B8B4-9CB15B8EC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1c61-7bb3-467f-bc3a-77f8d2209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85C2B7F-A0D7-4161-B9CE-D59EA090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1669</Words>
  <Characters>10519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12164</CharactersWithSpaces>
  <SharedDoc>false</SharedDoc>
  <HLinks>
    <vt:vector size="18" baseType="variant">
      <vt:variant>
        <vt:i4>720989</vt:i4>
      </vt:variant>
      <vt:variant>
        <vt:i4>6</vt:i4>
      </vt:variant>
      <vt:variant>
        <vt:i4>0</vt:i4>
      </vt:variant>
      <vt:variant>
        <vt:i4>5</vt:i4>
      </vt:variant>
      <vt:variant>
        <vt:lpwstr>http://www.koenig-bauer.com/</vt:lpwstr>
      </vt:variant>
      <vt:variant>
        <vt:lpwstr/>
      </vt:variant>
      <vt:variant>
        <vt:i4>589917</vt:i4>
      </vt:variant>
      <vt:variant>
        <vt:i4>3</vt:i4>
      </vt:variant>
      <vt:variant>
        <vt:i4>0</vt:i4>
      </vt:variant>
      <vt:variant>
        <vt:i4>5</vt:i4>
      </vt:variant>
      <vt:variant>
        <vt:lpwstr>https://investors.koenig-bauer.com/fileadmin/user_upload/04_Unternehmen/Investor_Relations/Berichte/Berichte_2024/koenig-bauer-zwischenmitteilung-q1-2024-de-web.pdf</vt:lpwstr>
      </vt:variant>
      <vt:variant>
        <vt:lpwstr/>
      </vt:variant>
      <vt:variant>
        <vt:i4>2555946</vt:i4>
      </vt:variant>
      <vt:variant>
        <vt:i4>0</vt:i4>
      </vt:variant>
      <vt:variant>
        <vt:i4>0</vt:i4>
      </vt:variant>
      <vt:variant>
        <vt:i4>5</vt:i4>
      </vt:variant>
      <vt:variant>
        <vt:lpwstr>https://www.koenig-bauer.com/fileadmin/user_upload/04_Unternehmen/Investor_Relations/Berichte/Berichte_2024/q1-2024-zahlen-auf-einen-blick.pdf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Rügamer, René (ZFI)</cp:lastModifiedBy>
  <cp:revision>12</cp:revision>
  <cp:lastPrinted>2024-11-05T10:18:00Z</cp:lastPrinted>
  <dcterms:created xsi:type="dcterms:W3CDTF">2024-11-06T21:06:00Z</dcterms:created>
  <dcterms:modified xsi:type="dcterms:W3CDTF">2025-02-27T11:49:00Z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0x0101002B8C05CB85BA6545A3EB5BA128F8AD38</vt:lpwstr>
  </property>
  <property fmtid="{D5CDD505-2E9C-101B-9397-08002B2CF9AE}" pid="3" name="MediaServiceImageTags">
    <vt:lpwstr/>
  </property>
</Properties>
</file>